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74" w:rsidRDefault="005262BE">
      <w:pPr>
        <w:pStyle w:val="Corpsdetexte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-495300</wp:posOffset>
                </wp:positionV>
                <wp:extent cx="5923280" cy="619125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2F" w:rsidRPr="0072260B" w:rsidRDefault="007639A5">
                            <w:pPr>
                              <w:pStyle w:val="Titre4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DEMANDE DE DEVIS</w:t>
                            </w:r>
                            <w:r w:rsidR="00A0042F" w:rsidRPr="0072260B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39pt;width:466.4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" stroked="f">
                <v:fill opacity="32896f"/>
                <v:textbox>
                  <w:txbxContent>
                    <w:p w:rsidR="00A0042F" w:rsidRPr="0072260B" w:rsidRDefault="007639A5">
                      <w:pPr>
                        <w:pStyle w:val="Titre4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DEMANDE DE DEVIS</w:t>
                      </w:r>
                      <w:r w:rsidR="00A0042F" w:rsidRPr="0072260B"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10874" w:rsidRDefault="00910874"/>
    <w:p w:rsidR="00910874" w:rsidRDefault="00910874">
      <w:pPr>
        <w:rPr>
          <w:rFonts w:ascii="Arial Narrow" w:hAnsi="Arial Narrow"/>
          <w:b/>
          <w:bCs/>
          <w:i/>
          <w:iCs/>
          <w:sz w:val="28"/>
        </w:rPr>
      </w:pPr>
    </w:p>
    <w:p w:rsidR="00910874" w:rsidRDefault="00910874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Centre de Gestion FPT 49.</w:t>
      </w:r>
    </w:p>
    <w:p w:rsidR="00910874" w:rsidRDefault="00910874">
      <w:pPr>
        <w:pStyle w:val="En-tte"/>
        <w:widowControl/>
        <w:tabs>
          <w:tab w:val="clear" w:pos="4536"/>
          <w:tab w:val="clear" w:pos="9072"/>
        </w:tabs>
        <w:snapToGrid/>
        <w:rPr>
          <w:rFonts w:ascii="Arial Narrow" w:hAnsi="Arial Narrow" w:cs="Arial"/>
          <w:b/>
          <w:bCs/>
          <w:sz w:val="28"/>
          <w:szCs w:val="24"/>
        </w:rPr>
      </w:pPr>
      <w:r>
        <w:rPr>
          <w:rFonts w:ascii="Arial Narrow" w:hAnsi="Arial Narrow" w:cs="Arial"/>
          <w:b/>
          <w:bCs/>
          <w:sz w:val="28"/>
          <w:szCs w:val="24"/>
        </w:rPr>
        <w:t>9, rue du Clon</w:t>
      </w:r>
    </w:p>
    <w:p w:rsidR="00910874" w:rsidRDefault="00910874">
      <w:pPr>
        <w:rPr>
          <w:rFonts w:ascii="Arial Narrow" w:hAnsi="Arial Narrow"/>
          <w:b/>
          <w:bCs/>
          <w:i/>
          <w:iCs/>
          <w:sz w:val="28"/>
        </w:rPr>
      </w:pPr>
      <w:r>
        <w:rPr>
          <w:rFonts w:ascii="Arial Narrow" w:hAnsi="Arial Narrow"/>
          <w:b/>
          <w:bCs/>
          <w:sz w:val="28"/>
        </w:rPr>
        <w:t>49000 ANGERS</w:t>
      </w:r>
    </w:p>
    <w:p w:rsidR="00910874" w:rsidRDefault="0091087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tél  02.41.24.18.80</w:t>
      </w:r>
      <w:proofErr w:type="gramEnd"/>
    </w:p>
    <w:p w:rsidR="00910874" w:rsidRDefault="0091087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fax</w:t>
      </w:r>
      <w:proofErr w:type="gramEnd"/>
      <w:r>
        <w:rPr>
          <w:rFonts w:ascii="Arial Narrow" w:hAnsi="Arial Narrow"/>
        </w:rPr>
        <w:t xml:space="preserve"> 02.41.24.18.99</w:t>
      </w:r>
    </w:p>
    <w:p w:rsidR="00910874" w:rsidRDefault="00910874">
      <w:pPr>
        <w:rPr>
          <w:rFonts w:ascii="Arial Narrow" w:hAnsi="Arial Narrow"/>
        </w:rPr>
      </w:pPr>
    </w:p>
    <w:p w:rsidR="00910874" w:rsidRDefault="00910874">
      <w:pPr>
        <w:rPr>
          <w:rFonts w:ascii="Arial Narrow" w:hAnsi="Arial Narrow"/>
        </w:rPr>
      </w:pPr>
    </w:p>
    <w:p w:rsidR="00910874" w:rsidRDefault="00910874">
      <w:pPr>
        <w:rPr>
          <w:rFonts w:ascii="Arial Narrow" w:hAnsi="Arial Narrow"/>
        </w:rPr>
      </w:pPr>
    </w:p>
    <w:p w:rsidR="00910874" w:rsidRDefault="00910874">
      <w:pPr>
        <w:rPr>
          <w:rFonts w:ascii="Arial Narrow" w:hAnsi="Arial Narrow"/>
        </w:rPr>
      </w:pPr>
    </w:p>
    <w:p w:rsidR="00910874" w:rsidRDefault="00910874">
      <w:pPr>
        <w:pStyle w:val="En-tte"/>
        <w:widowControl/>
        <w:tabs>
          <w:tab w:val="clear" w:pos="4536"/>
          <w:tab w:val="clear" w:pos="9072"/>
        </w:tabs>
        <w:snapToGrid/>
        <w:rPr>
          <w:rFonts w:ascii="Arial Narrow" w:hAnsi="Arial Narrow" w:cs="Arial"/>
          <w:szCs w:val="24"/>
        </w:rPr>
      </w:pPr>
    </w:p>
    <w:p w:rsidR="00910874" w:rsidRDefault="00910874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28"/>
        </w:rPr>
        <w:t>Unité Monétaire</w:t>
      </w:r>
      <w:r>
        <w:rPr>
          <w:rFonts w:ascii="Arial Narrow" w:hAnsi="Arial Narrow"/>
        </w:rPr>
        <w:t> </w:t>
      </w:r>
    </w:p>
    <w:p w:rsidR="00910874" w:rsidRDefault="00910874">
      <w:pPr>
        <w:pStyle w:val="Titre2"/>
        <w:rPr>
          <w:rFonts w:ascii="Arial Narrow" w:hAnsi="Arial Narrow"/>
        </w:rPr>
      </w:pPr>
      <w:r>
        <w:rPr>
          <w:rFonts w:ascii="Arial Narrow" w:hAnsi="Arial Narrow"/>
        </w:rPr>
        <w:t>EURO</w:t>
      </w:r>
    </w:p>
    <w:p w:rsidR="00910874" w:rsidRDefault="00910874">
      <w:pPr>
        <w:pStyle w:val="En-tte"/>
        <w:widowControl/>
        <w:tabs>
          <w:tab w:val="clear" w:pos="4536"/>
          <w:tab w:val="clear" w:pos="9072"/>
        </w:tabs>
        <w:snapToGrid/>
        <w:rPr>
          <w:rFonts w:ascii="Arial Narrow" w:hAnsi="Arial Narrow" w:cs="Arial"/>
          <w:szCs w:val="24"/>
        </w:rPr>
      </w:pPr>
    </w:p>
    <w:p w:rsidR="00910874" w:rsidRDefault="00910874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28"/>
        </w:rPr>
        <w:t>Mode de passation</w:t>
      </w:r>
      <w:r>
        <w:rPr>
          <w:rFonts w:ascii="Arial Narrow" w:hAnsi="Arial Narrow"/>
        </w:rPr>
        <w:t> </w:t>
      </w:r>
    </w:p>
    <w:p w:rsidR="00910874" w:rsidRDefault="00910874">
      <w:pPr>
        <w:pStyle w:val="Titre1"/>
        <w:rPr>
          <w:rFonts w:ascii="Arial Narrow" w:hAnsi="Arial Narrow"/>
          <w:b w:val="0"/>
          <w:bCs w:val="0"/>
        </w:rPr>
      </w:pPr>
    </w:p>
    <w:p w:rsidR="00910874" w:rsidRDefault="00910874">
      <w:pPr>
        <w:pStyle w:val="Titre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PROCEDURE ADAPTEE</w:t>
      </w:r>
      <w:r w:rsidR="004B574E">
        <w:rPr>
          <w:rFonts w:ascii="Arial Narrow" w:hAnsi="Arial Narrow"/>
          <w:sz w:val="20"/>
        </w:rPr>
        <w:t xml:space="preserve"> – Demande de devis</w:t>
      </w:r>
    </w:p>
    <w:p w:rsidR="00910874" w:rsidRDefault="00D46D5C" w:rsidP="00D46D5C">
      <w:pPr>
        <w:pStyle w:val="Defaul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Article </w:t>
      </w:r>
      <w:r w:rsidR="00227591">
        <w:rPr>
          <w:rFonts w:ascii="Arial Narrow" w:hAnsi="Arial Narrow"/>
          <w:sz w:val="20"/>
        </w:rPr>
        <w:t>L2123-1 et R2123-1 du code de la commande publique</w:t>
      </w:r>
      <w:r w:rsidR="00910874">
        <w:rPr>
          <w:rFonts w:ascii="Arial Narrow" w:hAnsi="Arial Narrow"/>
          <w:sz w:val="20"/>
        </w:rPr>
        <w:t>.</w:t>
      </w:r>
    </w:p>
    <w:p w:rsidR="00D46D5C" w:rsidRDefault="00D46D5C" w:rsidP="00D46D5C">
      <w:pPr>
        <w:pStyle w:val="Default"/>
        <w:rPr>
          <w:rFonts w:ascii="Arial Narrow" w:hAnsi="Arial Narrow"/>
        </w:rPr>
      </w:pPr>
      <w:r>
        <w:rPr>
          <w:rFonts w:ascii="Arial Narrow" w:hAnsi="Arial Narrow"/>
          <w:sz w:val="20"/>
        </w:rPr>
        <w:t>Les variantes sont exclues</w:t>
      </w:r>
    </w:p>
    <w:p w:rsidR="00910874" w:rsidRDefault="00910874">
      <w:pPr>
        <w:rPr>
          <w:rFonts w:ascii="Arial Narrow" w:hAnsi="Arial Narrow"/>
        </w:rPr>
      </w:pPr>
    </w:p>
    <w:p w:rsidR="00910874" w:rsidRDefault="00910874">
      <w:pPr>
        <w:jc w:val="center"/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i/>
          <w:iCs/>
          <w:sz w:val="28"/>
        </w:rPr>
        <w:t>Remise des Offres </w:t>
      </w:r>
    </w:p>
    <w:p w:rsidR="00910874" w:rsidRDefault="00910874">
      <w:pPr>
        <w:jc w:val="center"/>
        <w:rPr>
          <w:rFonts w:ascii="Arial Narrow" w:hAnsi="Arial Narrow"/>
          <w:i/>
          <w:iCs/>
          <w:sz w:val="28"/>
        </w:rPr>
      </w:pPr>
    </w:p>
    <w:p w:rsidR="00910874" w:rsidRDefault="00910874">
      <w:pPr>
        <w:jc w:val="center"/>
        <w:rPr>
          <w:rFonts w:ascii="Arial Narrow" w:hAnsi="Arial Narrow"/>
          <w:b/>
          <w:bCs/>
          <w:u w:val="single"/>
        </w:rPr>
      </w:pPr>
      <w:proofErr w:type="gramStart"/>
      <w:r>
        <w:rPr>
          <w:rFonts w:ascii="Arial Narrow" w:hAnsi="Arial Narrow"/>
          <w:b/>
          <w:bCs/>
          <w:u w:val="single"/>
        </w:rPr>
        <w:t>sur</w:t>
      </w:r>
      <w:proofErr w:type="gramEnd"/>
      <w:r>
        <w:rPr>
          <w:rFonts w:ascii="Arial Narrow" w:hAnsi="Arial Narrow"/>
          <w:b/>
          <w:bCs/>
          <w:u w:val="single"/>
        </w:rPr>
        <w:t xml:space="preserve"> l’imprimé joint</w:t>
      </w:r>
    </w:p>
    <w:p w:rsidR="00910874" w:rsidRDefault="00910874">
      <w:pPr>
        <w:jc w:val="center"/>
        <w:rPr>
          <w:rFonts w:ascii="Arial Narrow" w:hAnsi="Arial Narrow"/>
        </w:rPr>
      </w:pPr>
    </w:p>
    <w:p w:rsidR="00910874" w:rsidRDefault="00910874">
      <w:pPr>
        <w:numPr>
          <w:ilvl w:val="0"/>
          <w:numId w:val="8"/>
        </w:num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adresser</w:t>
      </w:r>
      <w:proofErr w:type="gramEnd"/>
      <w:r>
        <w:rPr>
          <w:rFonts w:ascii="Arial Narrow" w:hAnsi="Arial Narrow"/>
          <w:sz w:val="20"/>
        </w:rPr>
        <w:t xml:space="preserve"> offre à M</w:t>
      </w:r>
      <w:r w:rsidR="00B216F8">
        <w:rPr>
          <w:rFonts w:ascii="Arial Narrow" w:hAnsi="Arial Narrow"/>
          <w:sz w:val="20"/>
        </w:rPr>
        <w:t>me La</w:t>
      </w:r>
      <w:r>
        <w:rPr>
          <w:rFonts w:ascii="Arial Narrow" w:hAnsi="Arial Narrow"/>
          <w:sz w:val="20"/>
        </w:rPr>
        <w:t xml:space="preserve"> Président</w:t>
      </w:r>
      <w:r w:rsidR="00B216F8">
        <w:rPr>
          <w:rFonts w:ascii="Arial Narrow" w:hAnsi="Arial Narrow"/>
          <w:sz w:val="20"/>
        </w:rPr>
        <w:t>e</w:t>
      </w:r>
      <w:r>
        <w:rPr>
          <w:rFonts w:ascii="Arial Narrow" w:hAnsi="Arial Narrow"/>
          <w:sz w:val="20"/>
        </w:rPr>
        <w:t xml:space="preserve"> du CDG – 9</w:t>
      </w:r>
      <w:r w:rsidR="00806997"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0"/>
        </w:rPr>
        <w:t xml:space="preserve">rue du </w:t>
      </w:r>
      <w:proofErr w:type="spellStart"/>
      <w:r>
        <w:rPr>
          <w:rFonts w:ascii="Arial Narrow" w:hAnsi="Arial Narrow"/>
          <w:sz w:val="20"/>
        </w:rPr>
        <w:t>Clon</w:t>
      </w:r>
      <w:proofErr w:type="spellEnd"/>
      <w:r>
        <w:rPr>
          <w:rFonts w:ascii="Arial Narrow" w:hAnsi="Arial Narrow"/>
          <w:sz w:val="20"/>
        </w:rPr>
        <w:t xml:space="preserve"> – 49000 Angers </w:t>
      </w:r>
    </w:p>
    <w:p w:rsidR="00801322" w:rsidRDefault="00801322">
      <w:pPr>
        <w:numPr>
          <w:ilvl w:val="0"/>
          <w:numId w:val="8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mail : informatique@cdg49.fr</w:t>
      </w:r>
    </w:p>
    <w:p w:rsidR="00910874" w:rsidRDefault="00910874">
      <w:pPr>
        <w:rPr>
          <w:rFonts w:ascii="Arial Narrow" w:hAnsi="Arial Narrow"/>
          <w:sz w:val="18"/>
        </w:rPr>
      </w:pPr>
    </w:p>
    <w:p w:rsidR="008B581D" w:rsidRDefault="00D24DEB" w:rsidP="008B581D">
      <w:pPr>
        <w:jc w:val="center"/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i/>
          <w:iCs/>
          <w:sz w:val="28"/>
        </w:rPr>
        <w:t>Critères d’attributions</w:t>
      </w:r>
    </w:p>
    <w:p w:rsidR="00910874" w:rsidRPr="008B581D" w:rsidRDefault="008B581D" w:rsidP="008B581D">
      <w:pPr>
        <w:pStyle w:val="Titre3"/>
        <w:numPr>
          <w:ilvl w:val="0"/>
          <w:numId w:val="9"/>
        </w:numPr>
        <w:jc w:val="left"/>
        <w:rPr>
          <w:rFonts w:ascii="Arial Narrow" w:hAnsi="Arial Narrow"/>
          <w:sz w:val="20"/>
          <w:szCs w:val="20"/>
        </w:rPr>
      </w:pPr>
      <w:r w:rsidRPr="008B581D">
        <w:rPr>
          <w:rFonts w:ascii="Arial Narrow" w:hAnsi="Arial Narrow"/>
          <w:sz w:val="20"/>
          <w:szCs w:val="20"/>
        </w:rPr>
        <w:t>Prix (60 points)</w:t>
      </w:r>
    </w:p>
    <w:p w:rsidR="008B581D" w:rsidRPr="008B581D" w:rsidRDefault="008B581D" w:rsidP="008B581D">
      <w:pPr>
        <w:pStyle w:val="Paragraphedeliste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8B581D">
        <w:rPr>
          <w:rFonts w:ascii="Arial Narrow" w:hAnsi="Arial Narrow"/>
          <w:sz w:val="20"/>
          <w:szCs w:val="20"/>
        </w:rPr>
        <w:t>Délai d’exécution (20 points)</w:t>
      </w:r>
    </w:p>
    <w:p w:rsidR="008B581D" w:rsidRPr="008B581D" w:rsidRDefault="008B581D" w:rsidP="008B581D">
      <w:pPr>
        <w:pStyle w:val="Paragraphedeliste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8B581D">
        <w:rPr>
          <w:rFonts w:ascii="Arial Narrow" w:hAnsi="Arial Narrow"/>
          <w:sz w:val="20"/>
          <w:szCs w:val="20"/>
        </w:rPr>
        <w:t>Recyclage des consommables usagés (20 points)</w:t>
      </w:r>
    </w:p>
    <w:p w:rsidR="00910874" w:rsidRDefault="00910874">
      <w:pPr>
        <w:pStyle w:val="En-tte"/>
        <w:widowControl/>
        <w:tabs>
          <w:tab w:val="clear" w:pos="4536"/>
          <w:tab w:val="clear" w:pos="9072"/>
        </w:tabs>
        <w:snapToGrid/>
        <w:rPr>
          <w:rFonts w:ascii="Arial Narrow" w:hAnsi="Arial Narrow" w:cs="Arial"/>
          <w:szCs w:val="24"/>
        </w:rPr>
      </w:pPr>
    </w:p>
    <w:p w:rsidR="00910874" w:rsidRDefault="00910874">
      <w:pPr>
        <w:pStyle w:val="Titre3"/>
        <w:rPr>
          <w:rFonts w:ascii="Arial Narrow" w:hAnsi="Arial Narrow"/>
        </w:rPr>
      </w:pPr>
      <w:r>
        <w:rPr>
          <w:rFonts w:ascii="Arial Narrow" w:hAnsi="Arial Narrow"/>
        </w:rPr>
        <w:t>Durée de validité de l’offre</w:t>
      </w:r>
    </w:p>
    <w:p w:rsidR="00910874" w:rsidRDefault="00910874">
      <w:pPr>
        <w:rPr>
          <w:rFonts w:ascii="Arial Narrow" w:hAnsi="Arial Narrow"/>
        </w:rPr>
      </w:pPr>
    </w:p>
    <w:p w:rsidR="00910874" w:rsidRDefault="00B40A26">
      <w:pPr>
        <w:rPr>
          <w:rFonts w:ascii="Arial Narrow" w:hAnsi="Arial Narrow"/>
        </w:rPr>
      </w:pPr>
      <w:r>
        <w:rPr>
          <w:rFonts w:ascii="Arial Narrow" w:hAnsi="Arial Narrow"/>
          <w:sz w:val="20"/>
        </w:rPr>
        <w:t xml:space="preserve">20 </w:t>
      </w:r>
      <w:r w:rsidR="00910874">
        <w:rPr>
          <w:rFonts w:ascii="Arial Narrow" w:hAnsi="Arial Narrow"/>
          <w:sz w:val="20"/>
        </w:rPr>
        <w:t xml:space="preserve"> jours après la date limite de réception.</w:t>
      </w:r>
    </w:p>
    <w:p w:rsidR="00910874" w:rsidRDefault="00910874">
      <w:pPr>
        <w:pStyle w:val="Titre3"/>
        <w:rPr>
          <w:rFonts w:ascii="Arial Narrow" w:hAnsi="Arial Narrow"/>
        </w:rPr>
      </w:pPr>
    </w:p>
    <w:p w:rsidR="00910874" w:rsidRDefault="00910874">
      <w:pPr>
        <w:pStyle w:val="Titre3"/>
        <w:rPr>
          <w:rFonts w:ascii="Arial Narrow" w:hAnsi="Arial Narrow"/>
        </w:rPr>
      </w:pPr>
      <w:r>
        <w:rPr>
          <w:rFonts w:ascii="Arial Narrow" w:hAnsi="Arial Narrow"/>
        </w:rPr>
        <w:t>Date limite de réception des offres</w:t>
      </w:r>
    </w:p>
    <w:p w:rsidR="00910874" w:rsidRDefault="00910874">
      <w:pPr>
        <w:rPr>
          <w:rFonts w:ascii="Arial Narrow" w:hAnsi="Arial Narrow"/>
        </w:rPr>
      </w:pPr>
    </w:p>
    <w:p w:rsidR="00910874" w:rsidRDefault="00E941A9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17 décembre</w:t>
      </w:r>
      <w:r w:rsidR="004B574E">
        <w:rPr>
          <w:rFonts w:ascii="Arial Narrow" w:hAnsi="Arial Narrow"/>
          <w:b/>
          <w:bCs/>
          <w:sz w:val="20"/>
        </w:rPr>
        <w:t xml:space="preserve"> 2021</w:t>
      </w:r>
      <w:r w:rsidR="008B581D">
        <w:rPr>
          <w:rFonts w:ascii="Arial Narrow" w:hAnsi="Arial Narrow"/>
          <w:b/>
          <w:bCs/>
          <w:sz w:val="20"/>
        </w:rPr>
        <w:t>, 1</w:t>
      </w:r>
      <w:r w:rsidR="008E2781">
        <w:rPr>
          <w:rFonts w:ascii="Arial Narrow" w:hAnsi="Arial Narrow"/>
          <w:b/>
          <w:bCs/>
          <w:sz w:val="20"/>
        </w:rPr>
        <w:t>5</w:t>
      </w:r>
      <w:r w:rsidR="008B581D">
        <w:rPr>
          <w:rFonts w:ascii="Arial Narrow" w:hAnsi="Arial Narrow"/>
          <w:b/>
          <w:bCs/>
          <w:sz w:val="20"/>
        </w:rPr>
        <w:t xml:space="preserve"> heures</w:t>
      </w:r>
      <w:r w:rsidR="008E2781">
        <w:rPr>
          <w:rFonts w:ascii="Arial Narrow" w:hAnsi="Arial Narrow"/>
          <w:b/>
          <w:bCs/>
          <w:sz w:val="20"/>
        </w:rPr>
        <w:t xml:space="preserve"> 30</w:t>
      </w:r>
    </w:p>
    <w:p w:rsidR="00910874" w:rsidRDefault="00910874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910874" w:rsidRDefault="00910874">
      <w:pPr>
        <w:ind w:left="96"/>
        <w:jc w:val="center"/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i/>
          <w:iCs/>
          <w:sz w:val="28"/>
        </w:rPr>
        <w:t>Objet du marché</w:t>
      </w:r>
    </w:p>
    <w:p w:rsidR="00910874" w:rsidRPr="002739F9" w:rsidRDefault="00CC7CC2">
      <w:pPr>
        <w:ind w:left="96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pour</w:t>
      </w:r>
      <w:proofErr w:type="gramEnd"/>
      <w:r>
        <w:rPr>
          <w:rFonts w:ascii="Arial Narrow" w:hAnsi="Arial Narrow"/>
          <w:b/>
        </w:rPr>
        <w:t xml:space="preserve"> l’exercice 20</w:t>
      </w:r>
      <w:r w:rsidR="00E40AE8">
        <w:rPr>
          <w:rFonts w:ascii="Arial Narrow" w:hAnsi="Arial Narrow"/>
          <w:b/>
        </w:rPr>
        <w:t>2</w:t>
      </w:r>
      <w:r w:rsidR="00E941A9">
        <w:rPr>
          <w:rFonts w:ascii="Arial Narrow" w:hAnsi="Arial Narrow"/>
          <w:b/>
        </w:rPr>
        <w:t>2</w:t>
      </w:r>
    </w:p>
    <w:p w:rsidR="00910874" w:rsidRDefault="00910874">
      <w:pPr>
        <w:ind w:left="96" w:right="-187"/>
        <w:jc w:val="center"/>
        <w:rPr>
          <w:rFonts w:ascii="Arial Narrow" w:hAnsi="Arial Narrow"/>
        </w:rPr>
      </w:pPr>
    </w:p>
    <w:p w:rsidR="00910874" w:rsidRDefault="00910874">
      <w:pPr>
        <w:pStyle w:val="Titre3"/>
        <w:jc w:val="both"/>
        <w:rPr>
          <w:rFonts w:ascii="Arial Narrow" w:hAnsi="Arial Narrow"/>
          <w:i w:val="0"/>
          <w:iCs w:val="0"/>
          <w:sz w:val="20"/>
        </w:rPr>
      </w:pPr>
      <w:r>
        <w:rPr>
          <w:rFonts w:ascii="Arial Narrow" w:hAnsi="Arial Narrow"/>
          <w:i w:val="0"/>
          <w:iCs w:val="0"/>
          <w:sz w:val="20"/>
        </w:rPr>
        <w:t>Les estimations de consommation sont données à titre d’information, et de comparaison des offres</w:t>
      </w:r>
      <w:r w:rsidR="00806997">
        <w:rPr>
          <w:rFonts w:ascii="Arial Narrow" w:hAnsi="Arial Narrow"/>
          <w:i w:val="0"/>
          <w:iCs w:val="0"/>
          <w:sz w:val="20"/>
        </w:rPr>
        <w:t>, mais ne constitue en aucun cas un engagement de consommation</w:t>
      </w:r>
      <w:r>
        <w:rPr>
          <w:rFonts w:ascii="Arial Narrow" w:hAnsi="Arial Narrow"/>
          <w:i w:val="0"/>
          <w:iCs w:val="0"/>
          <w:sz w:val="20"/>
        </w:rPr>
        <w:t xml:space="preserve">. En cas de minimum de commande pour le franco de port, il sera retenu un forfait de 5 livraisons dans le coût global. La comparaison se fera par catégorie : marque- compatible- reconditionnées. </w:t>
      </w:r>
      <w:r w:rsidRPr="000729AC">
        <w:rPr>
          <w:rFonts w:ascii="Arial Narrow" w:hAnsi="Arial Narrow"/>
          <w:i w:val="0"/>
          <w:iCs w:val="0"/>
          <w:sz w:val="16"/>
          <w:szCs w:val="16"/>
        </w:rPr>
        <w:t>Un fournisseur différent pourra être retenu par type de commande : marque- compatible- reconditionnées</w:t>
      </w:r>
      <w:r w:rsidR="00F96910">
        <w:rPr>
          <w:rFonts w:ascii="Arial Narrow" w:hAnsi="Arial Narrow"/>
          <w:i w:val="0"/>
          <w:iCs w:val="0"/>
          <w:sz w:val="20"/>
        </w:rPr>
        <w:t> ;</w:t>
      </w:r>
    </w:p>
    <w:p w:rsidR="00EE5078" w:rsidRPr="00EE5078" w:rsidRDefault="00EE5078" w:rsidP="00EE5078"/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467"/>
        <w:gridCol w:w="1278"/>
        <w:gridCol w:w="1350"/>
      </w:tblGrid>
      <w:tr w:rsidR="00F040B3" w:rsidTr="00F040B3">
        <w:trPr>
          <w:trHeight w:val="300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40B3" w:rsidRDefault="00F040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laser</w:t>
            </w:r>
            <w:proofErr w:type="gramEnd"/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lexmark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T640 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marque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en 25000copies</w:t>
            </w: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compatible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reconditionnée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OKI B721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marque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 en 30000copies</w:t>
            </w: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compatible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reconditionnée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lexmark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E250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marque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compatible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reconditionnée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Lexmark E260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marque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compatible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reconditionnée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Lexmark MS317dn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marque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040B3" w:rsidTr="00F040B3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compatible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F040B3" w:rsidTr="00F040B3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reconditionnée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040B3" w:rsidTr="00F040B3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Lexmark MS310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marque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F040B3" w:rsidTr="00F040B3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compatible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40B3" w:rsidRDefault="00F040B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reconditionnée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Jet d’encre </w:t>
            </w:r>
          </w:p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( à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la marque uniquement)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HP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officejJet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pro 6230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Magenta,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Cyan,Jaune</w:t>
            </w:r>
            <w:proofErr w:type="spellEnd"/>
            <w:proofErr w:type="gramEnd"/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par couleur</w:t>
            </w: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noir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F040B3" w:rsidRDefault="00F040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officeJet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pro 251dw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F040B3" w:rsidRDefault="00F040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:rsidR="00F040B3" w:rsidRDefault="00F040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040B3" w:rsidTr="00F040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040B3" w:rsidRDefault="00F040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Magenta,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Cyan,Jaune</w:t>
            </w:r>
            <w:proofErr w:type="spellEnd"/>
            <w:proofErr w:type="gramEnd"/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par couleur </w:t>
            </w: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40B3" w:rsidTr="00F040B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F040B3" w:rsidRDefault="00F040B3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noir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0B3" w:rsidRDefault="00F04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:rsidR="00EE5078" w:rsidRDefault="00EE5078" w:rsidP="002739F9">
      <w:pPr>
        <w:ind w:left="96" w:right="-187"/>
        <w:rPr>
          <w:rFonts w:ascii="Arial Narrow" w:hAnsi="Arial Narrow"/>
          <w:b/>
          <w:sz w:val="18"/>
          <w:szCs w:val="18"/>
        </w:rPr>
      </w:pPr>
    </w:p>
    <w:p w:rsidR="00EE5078" w:rsidRDefault="00EE5078" w:rsidP="002739F9">
      <w:pPr>
        <w:ind w:left="96" w:right="-187"/>
        <w:rPr>
          <w:rFonts w:ascii="Arial Narrow" w:hAnsi="Arial Narrow"/>
          <w:b/>
          <w:sz w:val="18"/>
          <w:szCs w:val="18"/>
        </w:rPr>
      </w:pPr>
    </w:p>
    <w:p w:rsidR="002739F9" w:rsidRPr="0072260B" w:rsidRDefault="002739F9" w:rsidP="00806997">
      <w:pPr>
        <w:ind w:left="96" w:right="-187"/>
        <w:jc w:val="both"/>
        <w:rPr>
          <w:rFonts w:ascii="Arial Narrow" w:hAnsi="Arial Narrow"/>
          <w:b/>
          <w:sz w:val="18"/>
          <w:szCs w:val="18"/>
        </w:rPr>
      </w:pPr>
      <w:r w:rsidRPr="0072260B">
        <w:rPr>
          <w:rFonts w:ascii="Arial Narrow" w:hAnsi="Arial Narrow"/>
          <w:b/>
          <w:sz w:val="18"/>
          <w:szCs w:val="18"/>
        </w:rPr>
        <w:t xml:space="preserve">La Proposition pourra être </w:t>
      </w:r>
      <w:r w:rsidR="00207789" w:rsidRPr="0072260B">
        <w:rPr>
          <w:rFonts w:ascii="Arial Narrow" w:hAnsi="Arial Narrow"/>
          <w:b/>
          <w:sz w:val="18"/>
          <w:szCs w:val="18"/>
        </w:rPr>
        <w:t>f</w:t>
      </w:r>
      <w:r w:rsidR="000729AC" w:rsidRPr="0072260B">
        <w:rPr>
          <w:rFonts w:ascii="Arial Narrow" w:hAnsi="Arial Narrow"/>
          <w:b/>
          <w:sz w:val="18"/>
          <w:szCs w:val="18"/>
        </w:rPr>
        <w:t xml:space="preserve">ormulée sur le document annexé ou </w:t>
      </w:r>
      <w:r w:rsidRPr="0072260B">
        <w:rPr>
          <w:rFonts w:ascii="Arial Narrow" w:hAnsi="Arial Narrow"/>
          <w:b/>
          <w:sz w:val="18"/>
          <w:szCs w:val="18"/>
        </w:rPr>
        <w:t xml:space="preserve">sous forme libre, elle reprendra </w:t>
      </w:r>
      <w:r w:rsidR="000729AC" w:rsidRPr="0072260B">
        <w:rPr>
          <w:rFonts w:ascii="Arial Narrow" w:hAnsi="Arial Narrow"/>
          <w:b/>
          <w:sz w:val="18"/>
          <w:szCs w:val="18"/>
        </w:rPr>
        <w:t>alors t</w:t>
      </w:r>
      <w:r w:rsidRPr="0072260B">
        <w:rPr>
          <w:rFonts w:ascii="Arial Narrow" w:hAnsi="Arial Narrow"/>
          <w:b/>
          <w:sz w:val="18"/>
          <w:szCs w:val="18"/>
        </w:rPr>
        <w:t>ous les éléments d’engagement apparaissant sur celui-ci.</w:t>
      </w:r>
    </w:p>
    <w:p w:rsidR="002739F9" w:rsidRPr="000729AC" w:rsidRDefault="002739F9" w:rsidP="002739F9">
      <w:pPr>
        <w:ind w:left="96" w:right="-187"/>
        <w:rPr>
          <w:rFonts w:ascii="Arial Narrow" w:hAnsi="Arial Narrow"/>
          <w:sz w:val="20"/>
          <w:szCs w:val="20"/>
        </w:rPr>
      </w:pPr>
    </w:p>
    <w:p w:rsidR="00910874" w:rsidRPr="0072260B" w:rsidRDefault="00910874">
      <w:pPr>
        <w:pStyle w:val="Titre3"/>
        <w:rPr>
          <w:rFonts w:ascii="Arial Narrow" w:hAnsi="Arial Narrow"/>
          <w:sz w:val="20"/>
          <w:szCs w:val="20"/>
        </w:rPr>
      </w:pPr>
      <w:r w:rsidRPr="0072260B">
        <w:rPr>
          <w:rFonts w:ascii="Arial Narrow" w:hAnsi="Arial Narrow"/>
          <w:sz w:val="20"/>
          <w:szCs w:val="20"/>
        </w:rPr>
        <w:t>Personne responsable du Marché </w:t>
      </w:r>
    </w:p>
    <w:p w:rsidR="00035283" w:rsidRPr="0072260B" w:rsidRDefault="00B216F8">
      <w:pPr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Madame Elisabeth MARQUET</w:t>
      </w:r>
      <w:r w:rsidR="00910874" w:rsidRPr="0072260B">
        <w:rPr>
          <w:rFonts w:ascii="Arial Narrow" w:hAnsi="Arial Narrow"/>
          <w:sz w:val="20"/>
          <w:szCs w:val="20"/>
        </w:rPr>
        <w:t>, Président</w:t>
      </w:r>
      <w:r>
        <w:rPr>
          <w:rFonts w:ascii="Arial Narrow" w:hAnsi="Arial Narrow"/>
          <w:sz w:val="20"/>
          <w:szCs w:val="20"/>
        </w:rPr>
        <w:t>e</w:t>
      </w:r>
      <w:r w:rsidR="00910874" w:rsidRPr="0072260B">
        <w:rPr>
          <w:rFonts w:ascii="Arial Narrow" w:hAnsi="Arial Narrow"/>
          <w:sz w:val="20"/>
          <w:szCs w:val="20"/>
        </w:rPr>
        <w:t xml:space="preserve"> du CDG.</w:t>
      </w:r>
    </w:p>
    <w:sectPr w:rsidR="00035283" w:rsidRPr="0072260B" w:rsidSect="001D11CC">
      <w:pgSz w:w="11906" w:h="16838"/>
      <w:pgMar w:top="1418" w:right="1058" w:bottom="649" w:left="1418" w:header="720" w:footer="720" w:gutter="0"/>
      <w:cols w:num="2" w:space="708" w:equalWidth="0">
        <w:col w:w="4462" w:space="427"/>
        <w:col w:w="4541"/>
      </w:cols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ABF"/>
    <w:multiLevelType w:val="hybridMultilevel"/>
    <w:tmpl w:val="A7C4980E"/>
    <w:lvl w:ilvl="0" w:tplc="42FC2F9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EF0A5F"/>
    <w:multiLevelType w:val="hybridMultilevel"/>
    <w:tmpl w:val="019AC0A4"/>
    <w:lvl w:ilvl="0" w:tplc="898AEFB8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8FD3749"/>
    <w:multiLevelType w:val="hybridMultilevel"/>
    <w:tmpl w:val="17768D14"/>
    <w:lvl w:ilvl="0" w:tplc="FB98A91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8E95DE0"/>
    <w:multiLevelType w:val="hybridMultilevel"/>
    <w:tmpl w:val="04A6B0E0"/>
    <w:lvl w:ilvl="0" w:tplc="5D4471F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539D6B07"/>
    <w:multiLevelType w:val="hybridMultilevel"/>
    <w:tmpl w:val="55422534"/>
    <w:lvl w:ilvl="0" w:tplc="ACD4E016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54E40844"/>
    <w:multiLevelType w:val="hybridMultilevel"/>
    <w:tmpl w:val="980C7532"/>
    <w:lvl w:ilvl="0" w:tplc="829C4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C6C"/>
    <w:multiLevelType w:val="hybridMultilevel"/>
    <w:tmpl w:val="8FECCC2E"/>
    <w:lvl w:ilvl="0" w:tplc="69E87A40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6870C23"/>
    <w:multiLevelType w:val="hybridMultilevel"/>
    <w:tmpl w:val="2CA073EC"/>
    <w:lvl w:ilvl="0" w:tplc="CACA557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C861A30"/>
    <w:multiLevelType w:val="hybridMultilevel"/>
    <w:tmpl w:val="8AE4E6E4"/>
    <w:lvl w:ilvl="0" w:tplc="829C4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C"/>
    <w:rsid w:val="00035283"/>
    <w:rsid w:val="00051266"/>
    <w:rsid w:val="000729AC"/>
    <w:rsid w:val="001069CB"/>
    <w:rsid w:val="0012473D"/>
    <w:rsid w:val="001B41D8"/>
    <w:rsid w:val="001D11CC"/>
    <w:rsid w:val="00207789"/>
    <w:rsid w:val="00227591"/>
    <w:rsid w:val="002739F9"/>
    <w:rsid w:val="003A2537"/>
    <w:rsid w:val="00431AAC"/>
    <w:rsid w:val="004500AB"/>
    <w:rsid w:val="00482B1E"/>
    <w:rsid w:val="004B574E"/>
    <w:rsid w:val="004E3EC5"/>
    <w:rsid w:val="005262BE"/>
    <w:rsid w:val="00560B61"/>
    <w:rsid w:val="006E0DF8"/>
    <w:rsid w:val="0072260B"/>
    <w:rsid w:val="007639A5"/>
    <w:rsid w:val="00801322"/>
    <w:rsid w:val="00804D48"/>
    <w:rsid w:val="00806997"/>
    <w:rsid w:val="008B581D"/>
    <w:rsid w:val="008E2781"/>
    <w:rsid w:val="00910874"/>
    <w:rsid w:val="009139C2"/>
    <w:rsid w:val="00A0042F"/>
    <w:rsid w:val="00A329AE"/>
    <w:rsid w:val="00AB382F"/>
    <w:rsid w:val="00B04402"/>
    <w:rsid w:val="00B216F8"/>
    <w:rsid w:val="00B40A26"/>
    <w:rsid w:val="00BD02BF"/>
    <w:rsid w:val="00CB0632"/>
    <w:rsid w:val="00CC7CC2"/>
    <w:rsid w:val="00D24DEB"/>
    <w:rsid w:val="00D46D5C"/>
    <w:rsid w:val="00D57702"/>
    <w:rsid w:val="00D829CF"/>
    <w:rsid w:val="00E40AE8"/>
    <w:rsid w:val="00E941A9"/>
    <w:rsid w:val="00ED070C"/>
    <w:rsid w:val="00EE5078"/>
    <w:rsid w:val="00F02640"/>
    <w:rsid w:val="00F040B3"/>
    <w:rsid w:val="00F7570E"/>
    <w:rsid w:val="00F96910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7D5F9"/>
  <w15:docId w15:val="{D9D28359-00CD-4ED8-A340-0D6E822D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askerville Old Face" w:hAnsi="Baskerville Old Face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ind w:left="120"/>
      <w:jc w:val="center"/>
      <w:outlineLvl w:val="3"/>
    </w:pPr>
    <w:rPr>
      <w:rFonts w:ascii="Arial Narrow" w:hAnsi="Arial Narrow"/>
      <w:b/>
      <w:bCs/>
      <w:sz w:val="4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snapToGrid w:val="0"/>
    </w:pPr>
    <w:rPr>
      <w:rFonts w:ascii="Times New Roman" w:hAnsi="Times New Roman" w:cs="Times New Roman"/>
      <w:szCs w:val="20"/>
    </w:rPr>
  </w:style>
  <w:style w:type="paragraph" w:styleId="Retraitcorpsdetexte">
    <w:name w:val="Body Text Indent"/>
    <w:basedOn w:val="Normal"/>
    <w:pPr>
      <w:ind w:left="24"/>
    </w:pPr>
    <w:rPr>
      <w:rFonts w:ascii="Tahoma" w:hAnsi="Tahoma" w:cs="Tahoma"/>
      <w:b/>
      <w:bCs/>
      <w:sz w:val="18"/>
    </w:rPr>
  </w:style>
  <w:style w:type="paragraph" w:styleId="Corpsdetexte">
    <w:name w:val="Body Text"/>
    <w:basedOn w:val="Normal"/>
    <w:rPr>
      <w:b/>
      <w:bCs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4" w:firstLine="12"/>
    </w:pPr>
    <w:rPr>
      <w:sz w:val="20"/>
    </w:rPr>
  </w:style>
  <w:style w:type="paragraph" w:styleId="Retraitcorpsdetexte3">
    <w:name w:val="Body Text Indent 3"/>
    <w:basedOn w:val="Normal"/>
    <w:pPr>
      <w:ind w:left="84" w:firstLine="12"/>
      <w:jc w:val="center"/>
    </w:pPr>
    <w:rPr>
      <w:sz w:val="20"/>
    </w:rPr>
  </w:style>
  <w:style w:type="paragraph" w:styleId="Textedebulles">
    <w:name w:val="Balloon Text"/>
    <w:basedOn w:val="Normal"/>
    <w:semiHidden/>
    <w:rsid w:val="00722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6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 APPEL PUBLIC A LA CONCURRENCE :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 APPEL PUBLIC A LA CONCURRENCE :</dc:title>
  <dc:creator>centre de gestion</dc:creator>
  <cp:lastModifiedBy>Guillaume Cordier</cp:lastModifiedBy>
  <cp:revision>2</cp:revision>
  <cp:lastPrinted>2020-12-11T09:10:00Z</cp:lastPrinted>
  <dcterms:created xsi:type="dcterms:W3CDTF">2021-11-17T08:43:00Z</dcterms:created>
  <dcterms:modified xsi:type="dcterms:W3CDTF">2021-11-17T08:43:00Z</dcterms:modified>
</cp:coreProperties>
</file>