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96A8" w14:textId="77777777" w:rsidR="001D0EE9" w:rsidRDefault="001D0EE9" w:rsidP="001D0EE9">
      <w:pPr>
        <w:ind w:left="1560"/>
        <w:jc w:val="center"/>
        <w:rPr>
          <w:rFonts w:ascii="Trebuchet MS" w:hAnsi="Trebuchet MS"/>
        </w:rPr>
      </w:pPr>
      <w:r>
        <w:rPr>
          <w:rFonts w:ascii="Trebuchet MS" w:hAnsi="Trebuchet MS"/>
        </w:rPr>
        <w:t>Convention d’adhésion à la</w:t>
      </w:r>
    </w:p>
    <w:p w14:paraId="0A256EEB" w14:textId="77777777" w:rsidR="001D0EE9" w:rsidRDefault="001D0EE9" w:rsidP="001D0EE9">
      <w:pPr>
        <w:ind w:left="1560"/>
        <w:jc w:val="center"/>
        <w:rPr>
          <w:rFonts w:ascii="Trebuchet MS" w:hAnsi="Trebuchet MS"/>
        </w:rPr>
      </w:pPr>
      <w:r>
        <w:rPr>
          <w:rFonts w:ascii="Trebuchet MS" w:hAnsi="Trebuchet MS"/>
        </w:rPr>
        <w:t>MEDIATION PREALABLE OBLIGATOIRE</w:t>
      </w:r>
    </w:p>
    <w:p w14:paraId="591CF693" w14:textId="77777777" w:rsidR="001D0EE9" w:rsidRDefault="001D0EE9" w:rsidP="001D0EE9">
      <w:pPr>
        <w:ind w:left="1560"/>
        <w:jc w:val="center"/>
        <w:rPr>
          <w:rFonts w:ascii="Trebuchet MS" w:hAnsi="Trebuchet MS"/>
        </w:rPr>
      </w:pPr>
      <w:proofErr w:type="gramStart"/>
      <w:r>
        <w:rPr>
          <w:rFonts w:ascii="Trebuchet MS" w:hAnsi="Trebuchet MS"/>
        </w:rPr>
        <w:t>entre</w:t>
      </w:r>
      <w:proofErr w:type="gramEnd"/>
      <w:r>
        <w:rPr>
          <w:rFonts w:ascii="Trebuchet MS" w:hAnsi="Trebuchet MS"/>
        </w:rPr>
        <w:t xml:space="preserve"> le Centre de Gestion de la Fonction Publique Territoriale</w:t>
      </w:r>
    </w:p>
    <w:p w14:paraId="347562B7" w14:textId="77777777" w:rsidR="0010701F" w:rsidRDefault="001D0EE9" w:rsidP="001D0EE9">
      <w:pPr>
        <w:ind w:left="1560"/>
        <w:jc w:val="center"/>
        <w:rPr>
          <w:rFonts w:ascii="Trebuchet MS" w:hAnsi="Trebuchet MS"/>
        </w:rPr>
      </w:pPr>
      <w:proofErr w:type="gramStart"/>
      <w:r>
        <w:rPr>
          <w:rFonts w:ascii="Trebuchet MS" w:hAnsi="Trebuchet MS"/>
        </w:rPr>
        <w:t>de</w:t>
      </w:r>
      <w:proofErr w:type="gramEnd"/>
      <w:r>
        <w:rPr>
          <w:rFonts w:ascii="Trebuchet MS" w:hAnsi="Trebuchet MS"/>
        </w:rPr>
        <w:t xml:space="preserve"> Maine-et-Loire </w:t>
      </w:r>
    </w:p>
    <w:p w14:paraId="472C5100" w14:textId="70C79A3F" w:rsidR="001D0EE9" w:rsidRDefault="001D0EE9" w:rsidP="001D0EE9">
      <w:pPr>
        <w:ind w:left="1560"/>
        <w:jc w:val="center"/>
        <w:rPr>
          <w:rFonts w:ascii="Trebuchet MS" w:hAnsi="Trebuchet MS"/>
        </w:rPr>
      </w:pPr>
      <w:bookmarkStart w:id="0" w:name="_GoBack"/>
      <w:bookmarkEnd w:id="0"/>
      <w:proofErr w:type="gramStart"/>
      <w:r>
        <w:rPr>
          <w:rFonts w:ascii="Trebuchet MS" w:hAnsi="Trebuchet MS"/>
        </w:rPr>
        <w:t>et</w:t>
      </w:r>
      <w:proofErr w:type="gramEnd"/>
      <w:r>
        <w:rPr>
          <w:rFonts w:ascii="Trebuchet MS" w:hAnsi="Trebuchet MS"/>
        </w:rPr>
        <w:t xml:space="preserve"> la commune de ………………………….</w:t>
      </w:r>
    </w:p>
    <w:p w14:paraId="0A2C408C" w14:textId="77777777" w:rsidR="001D0EE9" w:rsidRDefault="001D0EE9" w:rsidP="001D0EE9">
      <w:pPr>
        <w:tabs>
          <w:tab w:val="left" w:pos="1134"/>
        </w:tabs>
        <w:ind w:left="1560" w:right="281"/>
        <w:jc w:val="both"/>
      </w:pPr>
    </w:p>
    <w:p w14:paraId="5EB502A4" w14:textId="77777777" w:rsidR="001D0EE9" w:rsidRDefault="001D0EE9" w:rsidP="001D0EE9">
      <w:pPr>
        <w:tabs>
          <w:tab w:val="left" w:pos="1134"/>
        </w:tabs>
        <w:ind w:left="1560" w:right="281"/>
        <w:jc w:val="both"/>
      </w:pPr>
    </w:p>
    <w:p w14:paraId="613327DD" w14:textId="77777777" w:rsidR="001D0EE9" w:rsidRDefault="001D0EE9" w:rsidP="001D0EE9">
      <w:pPr>
        <w:tabs>
          <w:tab w:val="left" w:pos="1134"/>
        </w:tabs>
        <w:ind w:left="1560" w:right="281"/>
        <w:jc w:val="both"/>
      </w:pPr>
    </w:p>
    <w:p w14:paraId="028D44C5" w14:textId="77777777" w:rsidR="001D0EE9" w:rsidRDefault="001D0EE9" w:rsidP="001D0EE9">
      <w:pPr>
        <w:tabs>
          <w:tab w:val="left" w:pos="1134"/>
        </w:tabs>
        <w:ind w:left="1560" w:right="281"/>
        <w:jc w:val="both"/>
      </w:pPr>
    </w:p>
    <w:p w14:paraId="0093FA3C" w14:textId="77777777" w:rsidR="001D0EE9" w:rsidRDefault="001D0EE9" w:rsidP="001D0EE9">
      <w:pPr>
        <w:autoSpaceDE w:val="0"/>
        <w:autoSpaceDN w:val="0"/>
        <w:adjustRightInd w:val="0"/>
        <w:ind w:left="1560"/>
        <w:jc w:val="both"/>
        <w:rPr>
          <w:rFonts w:ascii="Verdana" w:hAnsi="Verdana" w:cs="Calibri"/>
          <w:b/>
          <w:sz w:val="20"/>
          <w:szCs w:val="20"/>
          <w:u w:val="single"/>
        </w:rPr>
      </w:pPr>
      <w:r>
        <w:rPr>
          <w:rFonts w:ascii="Verdana" w:hAnsi="Verdana" w:cs="Calibri"/>
          <w:b/>
          <w:sz w:val="20"/>
          <w:szCs w:val="20"/>
          <w:u w:val="single"/>
        </w:rPr>
        <w:t>Préambule</w:t>
      </w:r>
    </w:p>
    <w:p w14:paraId="47F379E9" w14:textId="77777777" w:rsidR="001D0EE9" w:rsidRDefault="001D0EE9" w:rsidP="001D0EE9">
      <w:pPr>
        <w:autoSpaceDE w:val="0"/>
        <w:autoSpaceDN w:val="0"/>
        <w:adjustRightInd w:val="0"/>
        <w:ind w:left="1560"/>
        <w:jc w:val="both"/>
        <w:rPr>
          <w:rFonts w:ascii="Verdana" w:hAnsi="Verdana" w:cs="Calibri"/>
          <w:b/>
          <w:sz w:val="20"/>
          <w:szCs w:val="20"/>
          <w:u w:val="single"/>
        </w:rPr>
      </w:pPr>
    </w:p>
    <w:p w14:paraId="6298AD43"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La loi n° 2021-1729 du 22 décembre 2021 pour la confiance dans l'institution judiciaire et le code général de la fonction publique prévoient, que les centres de gestion assurent par convention, à la demande des collectivités territoriales et de leurs établissements publics, une mission de médiation préalable obligatoire prévue à l'article L. 213-11 du code de justice administrative. </w:t>
      </w:r>
    </w:p>
    <w:p w14:paraId="163BD755" w14:textId="77777777" w:rsidR="001D0EE9" w:rsidRDefault="001D0EE9" w:rsidP="001D0EE9">
      <w:pPr>
        <w:autoSpaceDE w:val="0"/>
        <w:autoSpaceDN w:val="0"/>
        <w:adjustRightInd w:val="0"/>
        <w:ind w:left="1560"/>
        <w:jc w:val="both"/>
        <w:rPr>
          <w:rFonts w:ascii="Verdana" w:hAnsi="Verdana" w:cs="Calibri"/>
          <w:sz w:val="20"/>
          <w:szCs w:val="20"/>
        </w:rPr>
      </w:pPr>
    </w:p>
    <w:p w14:paraId="10C09240"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La médiation est un dispositif novateur qui a vocation à désengorger les juridictions administratives. Elle vise également à rapprocher les parties dans le cadre d'une procédure amiable, plus rapide et moins couteuse qu'un contentieux engagé devant le juge administratif. </w:t>
      </w:r>
    </w:p>
    <w:p w14:paraId="46B767D5" w14:textId="77777777" w:rsidR="001D0EE9" w:rsidRDefault="001D0EE9" w:rsidP="001D0EE9">
      <w:pPr>
        <w:autoSpaceDE w:val="0"/>
        <w:autoSpaceDN w:val="0"/>
        <w:adjustRightInd w:val="0"/>
        <w:ind w:left="1560"/>
        <w:jc w:val="both"/>
        <w:rPr>
          <w:rFonts w:ascii="Verdana" w:hAnsi="Verdana" w:cs="Calibri"/>
          <w:sz w:val="20"/>
          <w:szCs w:val="20"/>
        </w:rPr>
      </w:pPr>
    </w:p>
    <w:p w14:paraId="05173445"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Le décret n° 2022-433 du 25 mars 2022 relatif à la procédure de médiation préalable obligatoire applicable à certains litiges de la fonction publique et à certains litiges sociaux met en place à compter du 1er avril 2022, une médiation obligatoire préalable (MPO) à la saisine du juge administratif dans certains litiges de la fonction publique et litiges sociaux. Cette procédure de médiation préalable obligatoire est assurée pour les agents des collectivités territoriales et de leurs établissements publics, par le centre de gestion de la fonction publique territorialement compétent ayant conclu avec la collectivité ou l'établissement concerné ladite convention. </w:t>
      </w:r>
    </w:p>
    <w:p w14:paraId="663CDF08"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Le Centre de Gestion de Maine et Loire souhaite de cette manière se positionner en tant que "tiers de confiance" auprès des élus-employeurs et de leurs agents. </w:t>
      </w:r>
    </w:p>
    <w:p w14:paraId="484516F0" w14:textId="77777777" w:rsidR="001D0EE9" w:rsidRDefault="001D0EE9" w:rsidP="001D0EE9">
      <w:pPr>
        <w:autoSpaceDE w:val="0"/>
        <w:autoSpaceDN w:val="0"/>
        <w:adjustRightInd w:val="0"/>
        <w:ind w:left="1560"/>
        <w:jc w:val="both"/>
        <w:rPr>
          <w:rFonts w:ascii="Verdana" w:hAnsi="Verdana" w:cs="Calibri"/>
          <w:sz w:val="20"/>
          <w:szCs w:val="20"/>
        </w:rPr>
      </w:pPr>
    </w:p>
    <w:p w14:paraId="1D8DD7A5"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La mission de médiation préalable obligatoire est assurée par le Centre de Gestion du Maine et Loire sur la base des articles L213-11 et suivant du Code de justice administrative et du décret n° 2022-433 du 25 mars 2022 précité. La présente convention détermine les contours et la tarification de la mission de médiation. </w:t>
      </w:r>
    </w:p>
    <w:p w14:paraId="6596A257" w14:textId="77777777" w:rsidR="001D0EE9" w:rsidRDefault="001D0EE9" w:rsidP="001D0EE9">
      <w:pPr>
        <w:autoSpaceDE w:val="0"/>
        <w:autoSpaceDN w:val="0"/>
        <w:adjustRightInd w:val="0"/>
        <w:ind w:left="1560"/>
        <w:jc w:val="both"/>
        <w:rPr>
          <w:rFonts w:ascii="Verdana" w:hAnsi="Verdana" w:cs="Calibri"/>
          <w:sz w:val="20"/>
          <w:szCs w:val="20"/>
        </w:rPr>
      </w:pPr>
    </w:p>
    <w:p w14:paraId="5EDED5CB" w14:textId="77777777" w:rsidR="001D0EE9" w:rsidRDefault="001D0EE9" w:rsidP="001D0EE9">
      <w:pPr>
        <w:autoSpaceDE w:val="0"/>
        <w:autoSpaceDN w:val="0"/>
        <w:adjustRightInd w:val="0"/>
        <w:ind w:left="1560"/>
        <w:jc w:val="both"/>
        <w:rPr>
          <w:rFonts w:ascii="Verdana" w:hAnsi="Verdana" w:cs="Calibri"/>
          <w:sz w:val="20"/>
          <w:szCs w:val="20"/>
        </w:rPr>
      </w:pPr>
    </w:p>
    <w:p w14:paraId="25BCC60F" w14:textId="77777777" w:rsidR="001D0EE9" w:rsidRDefault="001D0EE9" w:rsidP="001D0EE9">
      <w:pPr>
        <w:autoSpaceDE w:val="0"/>
        <w:autoSpaceDN w:val="0"/>
        <w:adjustRightInd w:val="0"/>
        <w:ind w:left="1560"/>
        <w:jc w:val="both"/>
        <w:rPr>
          <w:rFonts w:ascii="Verdana" w:hAnsi="Verdana" w:cs="Calibri"/>
          <w:b/>
          <w:sz w:val="20"/>
          <w:szCs w:val="20"/>
        </w:rPr>
      </w:pPr>
      <w:r>
        <w:rPr>
          <w:rFonts w:ascii="Verdana" w:hAnsi="Verdana" w:cs="Calibri"/>
          <w:b/>
          <w:sz w:val="20"/>
          <w:szCs w:val="20"/>
        </w:rPr>
        <w:t xml:space="preserve">Entre </w:t>
      </w:r>
    </w:p>
    <w:p w14:paraId="5606E3D9" w14:textId="77777777" w:rsidR="001D0EE9" w:rsidRDefault="001D0EE9" w:rsidP="001D0EE9">
      <w:pPr>
        <w:autoSpaceDE w:val="0"/>
        <w:autoSpaceDN w:val="0"/>
        <w:adjustRightInd w:val="0"/>
        <w:ind w:left="1560"/>
        <w:jc w:val="both"/>
        <w:rPr>
          <w:rFonts w:ascii="Verdana" w:hAnsi="Verdana" w:cs="Calibri"/>
          <w:b/>
          <w:sz w:val="20"/>
          <w:szCs w:val="20"/>
        </w:rPr>
      </w:pPr>
    </w:p>
    <w:p w14:paraId="615FD0B9"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Le Centre de Gestion de la FPT de Maine et Loire,</w:t>
      </w:r>
    </w:p>
    <w:p w14:paraId="33D741B1"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Représenté par sa présidente Madame Élisabeth MARQUET,</w:t>
      </w:r>
    </w:p>
    <w:p w14:paraId="64000023"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Autorisée à signer la présente convention par délibération du conseil d’administration en date du 10 mai 2022.</w:t>
      </w:r>
    </w:p>
    <w:p w14:paraId="6F121A93" w14:textId="77777777" w:rsidR="001D0EE9" w:rsidRDefault="001D0EE9" w:rsidP="001D0EE9">
      <w:pPr>
        <w:autoSpaceDE w:val="0"/>
        <w:autoSpaceDN w:val="0"/>
        <w:adjustRightInd w:val="0"/>
        <w:ind w:left="1560"/>
        <w:jc w:val="both"/>
        <w:rPr>
          <w:rFonts w:ascii="Verdana" w:hAnsi="Verdana" w:cs="Calibri"/>
          <w:sz w:val="20"/>
          <w:szCs w:val="20"/>
        </w:rPr>
      </w:pPr>
    </w:p>
    <w:p w14:paraId="24926DC5" w14:textId="77777777" w:rsidR="001D0EE9" w:rsidRDefault="001D0EE9" w:rsidP="001D0EE9">
      <w:pPr>
        <w:autoSpaceDE w:val="0"/>
        <w:autoSpaceDN w:val="0"/>
        <w:adjustRightInd w:val="0"/>
        <w:ind w:left="1560"/>
        <w:jc w:val="both"/>
        <w:rPr>
          <w:rFonts w:ascii="Verdana" w:hAnsi="Verdana" w:cs="Calibri"/>
          <w:b/>
          <w:sz w:val="20"/>
          <w:szCs w:val="20"/>
        </w:rPr>
      </w:pPr>
      <w:r>
        <w:rPr>
          <w:rFonts w:ascii="Verdana" w:hAnsi="Verdana" w:cs="Calibri"/>
          <w:b/>
          <w:sz w:val="20"/>
          <w:szCs w:val="20"/>
        </w:rPr>
        <w:t>Et</w:t>
      </w:r>
    </w:p>
    <w:p w14:paraId="2089D57E" w14:textId="77777777" w:rsidR="001D0EE9" w:rsidRDefault="001D0EE9" w:rsidP="001D0EE9">
      <w:pPr>
        <w:autoSpaceDE w:val="0"/>
        <w:autoSpaceDN w:val="0"/>
        <w:adjustRightInd w:val="0"/>
        <w:ind w:left="1560"/>
        <w:jc w:val="both"/>
        <w:rPr>
          <w:rFonts w:ascii="Verdana" w:hAnsi="Verdana" w:cs="Calibri"/>
          <w:b/>
          <w:sz w:val="20"/>
          <w:szCs w:val="20"/>
        </w:rPr>
      </w:pPr>
    </w:p>
    <w:p w14:paraId="62CFFBB8"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w:t>
      </w:r>
    </w:p>
    <w:p w14:paraId="5FF89D7B"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Représenté par………………………………………………………………………………………………………………...</w:t>
      </w:r>
    </w:p>
    <w:p w14:paraId="5FBE5724" w14:textId="77777777" w:rsidR="001D0EE9" w:rsidRDefault="001D0EE9" w:rsidP="001D0EE9">
      <w:pPr>
        <w:autoSpaceDE w:val="0"/>
        <w:autoSpaceDN w:val="0"/>
        <w:adjustRightInd w:val="0"/>
        <w:ind w:left="1560"/>
        <w:jc w:val="both"/>
        <w:rPr>
          <w:rFonts w:ascii="Verdana" w:hAnsi="Verdana" w:cs="Calibri"/>
          <w:sz w:val="20"/>
          <w:szCs w:val="20"/>
        </w:rPr>
      </w:pPr>
    </w:p>
    <w:p w14:paraId="2421E9A7"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Autorisé(e) à signer la présente convention par délibération du ……………………………………. En date du …/…/2022.</w:t>
      </w:r>
    </w:p>
    <w:p w14:paraId="440D82E2" w14:textId="77777777" w:rsidR="001D0EE9" w:rsidRDefault="001D0EE9" w:rsidP="001D0EE9">
      <w:pPr>
        <w:autoSpaceDE w:val="0"/>
        <w:autoSpaceDN w:val="0"/>
        <w:adjustRightInd w:val="0"/>
        <w:ind w:left="1560"/>
        <w:jc w:val="both"/>
        <w:rPr>
          <w:rFonts w:ascii="Verdana" w:hAnsi="Verdana" w:cs="Calibri"/>
          <w:sz w:val="20"/>
          <w:szCs w:val="20"/>
        </w:rPr>
      </w:pPr>
    </w:p>
    <w:p w14:paraId="5563026C"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Vu le code de Justice administrative,</w:t>
      </w:r>
    </w:p>
    <w:p w14:paraId="5260DFC5"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Vu le code général de la fonction publique,</w:t>
      </w:r>
    </w:p>
    <w:p w14:paraId="6975700A"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Vu la loi n° 2021-1729 du 22 décembre 2021 pour la confiance dans l'institution judiciaire,</w:t>
      </w:r>
    </w:p>
    <w:p w14:paraId="595829EA"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Vu le décret n° 2022-433 du 25 mars 2022 relatif à la procédure de médiation préalable obligatoire applicable à certains litiges de la fonction publique et à certains litiges sociaux,</w:t>
      </w:r>
    </w:p>
    <w:p w14:paraId="264CE0A2"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Vu la délibération du 10 mai 2022 instituant la médiation préalable obligatoire et autorisant la présidente du Centre de Gestion à signer la présente convention,</w:t>
      </w:r>
    </w:p>
    <w:p w14:paraId="6E526C88"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Vu la délibération du …/…/2022 autorisant le maire ou le président à signer la présente convention,</w:t>
      </w:r>
    </w:p>
    <w:p w14:paraId="6B1A9AC2" w14:textId="77777777" w:rsidR="001D0EE9" w:rsidRDefault="001D0EE9" w:rsidP="001D0EE9">
      <w:pPr>
        <w:ind w:left="1560"/>
        <w:jc w:val="both"/>
        <w:rPr>
          <w:rFonts w:ascii="Verdana" w:hAnsi="Verdana" w:cs="Calibri"/>
          <w:sz w:val="20"/>
          <w:szCs w:val="20"/>
        </w:rPr>
      </w:pPr>
    </w:p>
    <w:p w14:paraId="76B00054" w14:textId="77777777" w:rsidR="001D0EE9" w:rsidRDefault="001D0EE9" w:rsidP="001D0EE9">
      <w:pPr>
        <w:ind w:left="1560"/>
        <w:jc w:val="both"/>
        <w:rPr>
          <w:rFonts w:ascii="Verdana" w:hAnsi="Verdana" w:cs="Calibri"/>
          <w:b/>
          <w:sz w:val="20"/>
          <w:szCs w:val="20"/>
        </w:rPr>
      </w:pPr>
      <w:r>
        <w:rPr>
          <w:rFonts w:ascii="Verdana" w:hAnsi="Verdana" w:cs="Calibri"/>
          <w:b/>
          <w:sz w:val="20"/>
          <w:szCs w:val="20"/>
        </w:rPr>
        <w:t>Il est convenu ce qui suit :</w:t>
      </w:r>
    </w:p>
    <w:p w14:paraId="5909A075" w14:textId="77777777" w:rsidR="001D0EE9" w:rsidRDefault="001D0EE9" w:rsidP="001D0EE9">
      <w:pPr>
        <w:autoSpaceDE w:val="0"/>
        <w:autoSpaceDN w:val="0"/>
        <w:adjustRightInd w:val="0"/>
        <w:ind w:left="1560"/>
        <w:jc w:val="both"/>
        <w:rPr>
          <w:rFonts w:ascii="Verdana" w:hAnsi="Verdana" w:cs="Calibri"/>
          <w:sz w:val="20"/>
          <w:szCs w:val="20"/>
        </w:rPr>
      </w:pPr>
    </w:p>
    <w:p w14:paraId="615D91C7" w14:textId="77777777" w:rsidR="001D0EE9" w:rsidRDefault="001D0EE9" w:rsidP="001D0EE9">
      <w:pPr>
        <w:autoSpaceDE w:val="0"/>
        <w:autoSpaceDN w:val="0"/>
        <w:adjustRightInd w:val="0"/>
        <w:ind w:left="1560"/>
        <w:jc w:val="both"/>
        <w:rPr>
          <w:rFonts w:ascii="Verdana" w:hAnsi="Verdana" w:cs="Calibri,Bold"/>
          <w:b/>
          <w:bCs/>
          <w:sz w:val="20"/>
          <w:szCs w:val="20"/>
        </w:rPr>
      </w:pPr>
    </w:p>
    <w:p w14:paraId="5DAE60FF" w14:textId="77777777" w:rsidR="001D0EE9" w:rsidRDefault="001D0EE9" w:rsidP="001D0EE9">
      <w:pPr>
        <w:autoSpaceDE w:val="0"/>
        <w:autoSpaceDN w:val="0"/>
        <w:adjustRightInd w:val="0"/>
        <w:ind w:left="1560"/>
        <w:jc w:val="both"/>
        <w:rPr>
          <w:rFonts w:ascii="Verdana" w:hAnsi="Verdana" w:cs="Calibri,Bold"/>
          <w:b/>
          <w:bCs/>
          <w:sz w:val="20"/>
          <w:szCs w:val="20"/>
        </w:rPr>
      </w:pPr>
    </w:p>
    <w:p w14:paraId="05CC1173" w14:textId="77777777" w:rsidR="001D0EE9" w:rsidRDefault="001D0EE9" w:rsidP="001D0EE9">
      <w:pPr>
        <w:autoSpaceDE w:val="0"/>
        <w:autoSpaceDN w:val="0"/>
        <w:adjustRightInd w:val="0"/>
        <w:ind w:left="1560"/>
        <w:jc w:val="both"/>
        <w:rPr>
          <w:rFonts w:ascii="Verdana" w:hAnsi="Verdana" w:cs="Calibri"/>
          <w:b/>
          <w:sz w:val="20"/>
          <w:szCs w:val="20"/>
        </w:rPr>
      </w:pPr>
      <w:r>
        <w:rPr>
          <w:rFonts w:ascii="Verdana" w:hAnsi="Verdana" w:cs="Calibri,Bold"/>
          <w:b/>
          <w:bCs/>
          <w:sz w:val="20"/>
          <w:szCs w:val="20"/>
        </w:rPr>
        <w:t>Article 1</w:t>
      </w:r>
      <w:r>
        <w:rPr>
          <w:rFonts w:ascii="Verdana" w:hAnsi="Verdana" w:cs="Calibri,Bold"/>
          <w:b/>
          <w:bCs/>
          <w:sz w:val="20"/>
          <w:szCs w:val="20"/>
          <w:vertAlign w:val="superscript"/>
        </w:rPr>
        <w:t>er</w:t>
      </w:r>
      <w:r>
        <w:rPr>
          <w:rFonts w:ascii="Verdana" w:hAnsi="Verdana" w:cs="Calibri,Bold"/>
          <w:b/>
          <w:bCs/>
          <w:sz w:val="20"/>
          <w:szCs w:val="20"/>
        </w:rPr>
        <w:t xml:space="preserve"> :</w:t>
      </w:r>
      <w:r>
        <w:rPr>
          <w:rFonts w:ascii="Verdana" w:hAnsi="Verdana" w:cs="Calibri"/>
          <w:sz w:val="20"/>
          <w:szCs w:val="20"/>
        </w:rPr>
        <w:t xml:space="preserve"> </w:t>
      </w:r>
      <w:r>
        <w:rPr>
          <w:rFonts w:ascii="Verdana" w:hAnsi="Verdana" w:cs="Calibri"/>
          <w:b/>
          <w:sz w:val="20"/>
          <w:szCs w:val="20"/>
        </w:rPr>
        <w:t xml:space="preserve">Objet de la convention </w:t>
      </w:r>
    </w:p>
    <w:p w14:paraId="00C61118" w14:textId="77777777" w:rsidR="001D0EE9" w:rsidRDefault="001D0EE9" w:rsidP="001D0EE9">
      <w:pPr>
        <w:autoSpaceDE w:val="0"/>
        <w:autoSpaceDN w:val="0"/>
        <w:adjustRightInd w:val="0"/>
        <w:ind w:left="1560"/>
        <w:jc w:val="both"/>
        <w:rPr>
          <w:rFonts w:ascii="Verdana" w:hAnsi="Verdana" w:cs="Calibri"/>
          <w:sz w:val="20"/>
          <w:szCs w:val="20"/>
        </w:rPr>
      </w:pPr>
    </w:p>
    <w:p w14:paraId="498A6E8E"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La médiation régie par la présente convention s'entend de tout processus structuré, quelle qu'en soit la dénomination, par lequel les parties à un litige visé à l’article 5 tentent de parvenir à un accord en vue de la résolution amiable de leurs différends, avec l'aide du Centre de Gestion désigné comme médiateur en qualité de personne morale.</w:t>
      </w:r>
    </w:p>
    <w:p w14:paraId="5EC01733" w14:textId="77777777" w:rsidR="001D0EE9" w:rsidRDefault="001D0EE9" w:rsidP="001D0EE9">
      <w:pPr>
        <w:autoSpaceDE w:val="0"/>
        <w:autoSpaceDN w:val="0"/>
        <w:adjustRightInd w:val="0"/>
        <w:ind w:left="1560"/>
        <w:jc w:val="both"/>
        <w:rPr>
          <w:rFonts w:ascii="Verdana" w:hAnsi="Verdana" w:cs="Calibri"/>
          <w:sz w:val="20"/>
          <w:szCs w:val="20"/>
        </w:rPr>
      </w:pPr>
    </w:p>
    <w:p w14:paraId="0A46EE20"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L'accord auquel parviennent les parties ne peut cependant porter atteinte à des droits dont elles n'ont pas la libre disposition.</w:t>
      </w:r>
    </w:p>
    <w:p w14:paraId="5E29F8FF" w14:textId="77777777" w:rsidR="001D0EE9" w:rsidRDefault="001D0EE9" w:rsidP="001D0EE9">
      <w:pPr>
        <w:autoSpaceDE w:val="0"/>
        <w:autoSpaceDN w:val="0"/>
        <w:adjustRightInd w:val="0"/>
        <w:ind w:left="1560"/>
        <w:jc w:val="both"/>
        <w:rPr>
          <w:rFonts w:ascii="Verdana" w:hAnsi="Verdana" w:cs="Calibri"/>
          <w:sz w:val="20"/>
          <w:szCs w:val="20"/>
        </w:rPr>
      </w:pPr>
    </w:p>
    <w:p w14:paraId="0B423165"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La médiation préalable obligatoire (MPO) constitue une forme particulière de la médiation à l'initiative des parties définie à l'article L. 213-5 du code de justice administrative.</w:t>
      </w:r>
    </w:p>
    <w:p w14:paraId="056DB29B"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Les recours formés contre les décisions individuelles qui concernent la situation de personnes physiques et dont la liste est déterminée par décret en Conseil d'Etat sont, à peine d'irrecevabilité, précédés d'une tentative de médiation préalable obligatoire assurée par le Centre de Gestion.</w:t>
      </w:r>
    </w:p>
    <w:p w14:paraId="5C699FA7" w14:textId="77777777" w:rsidR="001D0EE9" w:rsidRDefault="001D0EE9" w:rsidP="001D0EE9">
      <w:pPr>
        <w:autoSpaceDE w:val="0"/>
        <w:autoSpaceDN w:val="0"/>
        <w:adjustRightInd w:val="0"/>
        <w:ind w:left="1560"/>
        <w:jc w:val="both"/>
        <w:rPr>
          <w:rFonts w:ascii="Verdana" w:hAnsi="Verdana" w:cs="Calibri"/>
          <w:sz w:val="20"/>
          <w:szCs w:val="20"/>
        </w:rPr>
      </w:pPr>
    </w:p>
    <w:p w14:paraId="5B1E9E1C"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Il ne peut être demandé au juge ni d’organiser cette médiation, ni d’en prévoir la rémunération.</w:t>
      </w:r>
    </w:p>
    <w:p w14:paraId="40A48D36" w14:textId="77777777" w:rsidR="001D0EE9" w:rsidRDefault="001D0EE9" w:rsidP="001D0EE9">
      <w:pPr>
        <w:autoSpaceDE w:val="0"/>
        <w:autoSpaceDN w:val="0"/>
        <w:adjustRightInd w:val="0"/>
        <w:ind w:left="1560"/>
        <w:jc w:val="both"/>
        <w:rPr>
          <w:rFonts w:ascii="Verdana" w:hAnsi="Verdana" w:cs="Calibri"/>
          <w:sz w:val="20"/>
          <w:szCs w:val="20"/>
        </w:rPr>
      </w:pPr>
    </w:p>
    <w:p w14:paraId="03CA1FD2"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Bold"/>
          <w:b/>
          <w:bCs/>
          <w:sz w:val="20"/>
          <w:szCs w:val="20"/>
        </w:rPr>
        <w:t xml:space="preserve">Article 2 </w:t>
      </w:r>
      <w:r>
        <w:rPr>
          <w:rFonts w:ascii="Verdana" w:hAnsi="Verdana" w:cs="Calibri"/>
          <w:sz w:val="20"/>
          <w:szCs w:val="20"/>
        </w:rPr>
        <w:t xml:space="preserve">: </w:t>
      </w:r>
      <w:r>
        <w:rPr>
          <w:rFonts w:ascii="Verdana" w:hAnsi="Verdana" w:cs="Calibri"/>
          <w:b/>
          <w:sz w:val="20"/>
          <w:szCs w:val="20"/>
        </w:rPr>
        <w:t>Désignation du médiateur</w:t>
      </w:r>
    </w:p>
    <w:p w14:paraId="7C336E89" w14:textId="77777777" w:rsidR="001D0EE9" w:rsidRDefault="001D0EE9" w:rsidP="001D0EE9">
      <w:pPr>
        <w:autoSpaceDE w:val="0"/>
        <w:autoSpaceDN w:val="0"/>
        <w:adjustRightInd w:val="0"/>
        <w:ind w:left="1560"/>
        <w:jc w:val="both"/>
        <w:rPr>
          <w:rFonts w:ascii="Verdana" w:hAnsi="Verdana" w:cs="Calibri"/>
          <w:sz w:val="20"/>
          <w:szCs w:val="20"/>
        </w:rPr>
      </w:pPr>
    </w:p>
    <w:p w14:paraId="5C248743"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La ou les personnes physiques désignées par le Centre de Gestion pour assurer la mission de</w:t>
      </w:r>
      <w:r>
        <w:rPr>
          <w:rFonts w:ascii="Verdana" w:hAnsi="Verdana" w:cs="Calibri,Bold"/>
          <w:b/>
          <w:bCs/>
          <w:sz w:val="20"/>
          <w:szCs w:val="20"/>
        </w:rPr>
        <w:t xml:space="preserve"> </w:t>
      </w:r>
      <w:r>
        <w:rPr>
          <w:rFonts w:ascii="Verdana" w:hAnsi="Verdana" w:cs="Calibri"/>
          <w:sz w:val="20"/>
          <w:szCs w:val="20"/>
        </w:rPr>
        <w:t>médiation doivent posséder, par l'exercice présent ou passé d'une activité, la qualification requise eu</w:t>
      </w:r>
      <w:r>
        <w:rPr>
          <w:rFonts w:ascii="Verdana" w:hAnsi="Verdana" w:cs="Calibri,Bold"/>
          <w:b/>
          <w:bCs/>
          <w:sz w:val="20"/>
          <w:szCs w:val="20"/>
        </w:rPr>
        <w:t xml:space="preserve"> </w:t>
      </w:r>
      <w:r>
        <w:rPr>
          <w:rFonts w:ascii="Verdana" w:hAnsi="Verdana" w:cs="Calibri"/>
          <w:sz w:val="20"/>
          <w:szCs w:val="20"/>
        </w:rPr>
        <w:t>égard à la nature du litige. Elle doit en outre justifier, selon le cas, d'une formation ou d'une</w:t>
      </w:r>
      <w:r>
        <w:rPr>
          <w:rFonts w:ascii="Verdana" w:hAnsi="Verdana" w:cs="Calibri,Bold"/>
          <w:b/>
          <w:bCs/>
          <w:sz w:val="20"/>
          <w:szCs w:val="20"/>
        </w:rPr>
        <w:t xml:space="preserve"> </w:t>
      </w:r>
      <w:r>
        <w:rPr>
          <w:rFonts w:ascii="Verdana" w:hAnsi="Verdana" w:cs="Calibri"/>
          <w:sz w:val="20"/>
          <w:szCs w:val="20"/>
        </w:rPr>
        <w:t>expérience adaptée à la pratique de la médiation.</w:t>
      </w:r>
    </w:p>
    <w:p w14:paraId="0065FB2C" w14:textId="77777777" w:rsidR="001D0EE9" w:rsidRDefault="001D0EE9" w:rsidP="001D0EE9">
      <w:pPr>
        <w:autoSpaceDE w:val="0"/>
        <w:autoSpaceDN w:val="0"/>
        <w:adjustRightInd w:val="0"/>
        <w:ind w:left="1560"/>
        <w:jc w:val="both"/>
        <w:rPr>
          <w:rFonts w:ascii="Verdana" w:hAnsi="Verdana" w:cs="Calibri,Bold"/>
          <w:b/>
          <w:bCs/>
          <w:sz w:val="20"/>
          <w:szCs w:val="20"/>
        </w:rPr>
      </w:pPr>
    </w:p>
    <w:p w14:paraId="636174B0"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Elle s’engage expressément à se conformer au Code National de déontologie du médiateur, à l’exception de l’article 2-1 relatif à la convention de consentement à la médiation et notamment à accomplir sa mission avec impartialité, compétence et diligence. </w:t>
      </w:r>
    </w:p>
    <w:p w14:paraId="2CC67C80" w14:textId="77777777" w:rsidR="001D0EE9" w:rsidRDefault="001D0EE9" w:rsidP="001D0EE9">
      <w:pPr>
        <w:autoSpaceDE w:val="0"/>
        <w:autoSpaceDN w:val="0"/>
        <w:adjustRightInd w:val="0"/>
        <w:ind w:left="1560"/>
        <w:jc w:val="both"/>
        <w:rPr>
          <w:rFonts w:ascii="Verdana" w:hAnsi="Verdana" w:cs="Calibri"/>
          <w:sz w:val="20"/>
          <w:szCs w:val="20"/>
        </w:rPr>
      </w:pPr>
    </w:p>
    <w:p w14:paraId="55A30654" w14:textId="77777777" w:rsidR="001D0EE9" w:rsidRDefault="001D0EE9" w:rsidP="001D0EE9">
      <w:pPr>
        <w:autoSpaceDE w:val="0"/>
        <w:autoSpaceDN w:val="0"/>
        <w:adjustRightInd w:val="0"/>
        <w:jc w:val="both"/>
        <w:rPr>
          <w:rFonts w:ascii="Verdana" w:hAnsi="Verdana" w:cs="Calibri,Bold"/>
          <w:b/>
          <w:bCs/>
          <w:sz w:val="20"/>
          <w:szCs w:val="20"/>
        </w:rPr>
      </w:pPr>
    </w:p>
    <w:p w14:paraId="6A369776" w14:textId="77777777" w:rsidR="001D0EE9" w:rsidRDefault="001D0EE9" w:rsidP="001D0EE9">
      <w:pPr>
        <w:autoSpaceDE w:val="0"/>
        <w:autoSpaceDN w:val="0"/>
        <w:adjustRightInd w:val="0"/>
        <w:jc w:val="both"/>
        <w:rPr>
          <w:rFonts w:ascii="Verdana" w:hAnsi="Verdana" w:cs="Calibri,Bold"/>
          <w:b/>
          <w:bCs/>
          <w:sz w:val="20"/>
          <w:szCs w:val="20"/>
        </w:rPr>
      </w:pPr>
    </w:p>
    <w:p w14:paraId="4B5D66A1"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Bold"/>
          <w:b/>
          <w:bCs/>
          <w:sz w:val="20"/>
          <w:szCs w:val="20"/>
        </w:rPr>
        <w:t xml:space="preserve">Article 3 </w:t>
      </w:r>
      <w:r>
        <w:rPr>
          <w:rFonts w:ascii="Verdana" w:hAnsi="Verdana" w:cs="Calibri"/>
          <w:sz w:val="20"/>
          <w:szCs w:val="20"/>
        </w:rPr>
        <w:t xml:space="preserve">: </w:t>
      </w:r>
      <w:r>
        <w:rPr>
          <w:rFonts w:ascii="Verdana" w:hAnsi="Verdana" w:cs="Calibri"/>
          <w:b/>
          <w:sz w:val="20"/>
          <w:szCs w:val="20"/>
        </w:rPr>
        <w:t>Aspects de confidentialité</w:t>
      </w:r>
    </w:p>
    <w:p w14:paraId="59370361" w14:textId="77777777" w:rsidR="001D0EE9" w:rsidRDefault="001D0EE9" w:rsidP="001D0EE9">
      <w:pPr>
        <w:autoSpaceDE w:val="0"/>
        <w:autoSpaceDN w:val="0"/>
        <w:adjustRightInd w:val="0"/>
        <w:ind w:left="1560"/>
        <w:jc w:val="both"/>
        <w:rPr>
          <w:rFonts w:ascii="Verdana" w:hAnsi="Verdana" w:cs="Calibri"/>
          <w:sz w:val="20"/>
          <w:szCs w:val="20"/>
        </w:rPr>
      </w:pPr>
    </w:p>
    <w:p w14:paraId="2E8998B9"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sans l'accord des parties.</w:t>
      </w:r>
    </w:p>
    <w:p w14:paraId="6FB4CE0A" w14:textId="77777777" w:rsidR="001D0EE9" w:rsidRDefault="001D0EE9" w:rsidP="001D0EE9">
      <w:pPr>
        <w:autoSpaceDE w:val="0"/>
        <w:autoSpaceDN w:val="0"/>
        <w:adjustRightInd w:val="0"/>
        <w:ind w:left="1560"/>
        <w:jc w:val="both"/>
        <w:rPr>
          <w:rFonts w:ascii="Verdana" w:hAnsi="Verdana" w:cs="Calibri"/>
          <w:sz w:val="20"/>
          <w:szCs w:val="20"/>
        </w:rPr>
      </w:pPr>
    </w:p>
    <w:p w14:paraId="065157DD"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Il est toutefois fait exception à ces principes dans les cas suivants :</w:t>
      </w:r>
    </w:p>
    <w:p w14:paraId="79A46112"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En présence de raisons impérieuses d'ordre public ou de motifs liés à la protection de l'intégrité physique ou psychologique d'une personne ;</w:t>
      </w:r>
    </w:p>
    <w:p w14:paraId="322CDAB0"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Lorsque la révélation de l'existence ou la divulgation du contenu de l'accord issu de la médiation est nécessaire pour sa mise en œuvre.</w:t>
      </w:r>
    </w:p>
    <w:p w14:paraId="7DCE622F" w14:textId="77777777" w:rsidR="001D0EE9" w:rsidRDefault="001D0EE9" w:rsidP="001D0EE9">
      <w:pPr>
        <w:ind w:left="1560"/>
        <w:jc w:val="both"/>
        <w:rPr>
          <w:rFonts w:ascii="Verdana" w:hAnsi="Verdana" w:cs="Calibri"/>
          <w:sz w:val="20"/>
          <w:szCs w:val="20"/>
        </w:rPr>
      </w:pPr>
    </w:p>
    <w:p w14:paraId="71999384"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Bold"/>
          <w:b/>
          <w:bCs/>
          <w:sz w:val="20"/>
          <w:szCs w:val="20"/>
        </w:rPr>
        <w:t xml:space="preserve">Article 4 </w:t>
      </w:r>
      <w:r>
        <w:rPr>
          <w:rFonts w:ascii="Verdana" w:hAnsi="Verdana" w:cs="Calibri"/>
          <w:sz w:val="20"/>
          <w:szCs w:val="20"/>
        </w:rPr>
        <w:t xml:space="preserve">: </w:t>
      </w:r>
      <w:r>
        <w:rPr>
          <w:rFonts w:ascii="Verdana" w:hAnsi="Verdana" w:cs="Calibri"/>
          <w:b/>
          <w:sz w:val="20"/>
          <w:szCs w:val="20"/>
        </w:rPr>
        <w:t>Rôle et compétence du médiateur</w:t>
      </w:r>
    </w:p>
    <w:p w14:paraId="2BBD2544" w14:textId="77777777" w:rsidR="001D0EE9" w:rsidRDefault="001D0EE9" w:rsidP="001D0EE9">
      <w:pPr>
        <w:autoSpaceDE w:val="0"/>
        <w:autoSpaceDN w:val="0"/>
        <w:adjustRightInd w:val="0"/>
        <w:ind w:left="1560"/>
        <w:jc w:val="both"/>
        <w:rPr>
          <w:rFonts w:ascii="Verdana" w:hAnsi="Verdana" w:cs="Calibri"/>
          <w:sz w:val="20"/>
          <w:szCs w:val="20"/>
        </w:rPr>
      </w:pPr>
    </w:p>
    <w:p w14:paraId="124B745A" w14:textId="77777777" w:rsidR="001D0EE9" w:rsidRDefault="001D0EE9" w:rsidP="001D0EE9">
      <w:pPr>
        <w:ind w:left="1560"/>
        <w:jc w:val="both"/>
        <w:rPr>
          <w:rFonts w:ascii="Verdana" w:hAnsi="Verdana" w:cs="Calibri"/>
          <w:sz w:val="20"/>
          <w:szCs w:val="20"/>
        </w:rPr>
      </w:pPr>
      <w:r>
        <w:rPr>
          <w:rFonts w:ascii="Verdana" w:hAnsi="Verdana" w:cs="Calibri"/>
          <w:sz w:val="20"/>
          <w:szCs w:val="20"/>
        </w:rPr>
        <w:t xml:space="preserve">Le médiateur organise la médiation (lieux, dates et heures) dans des conditions favorisant un dialogue et la recherche d’un accord. Le médiateur adhère à la charte des médiateurs de Centres de Gestion. </w:t>
      </w:r>
    </w:p>
    <w:p w14:paraId="73BB6195" w14:textId="77777777" w:rsidR="001D0EE9" w:rsidRDefault="001D0EE9" w:rsidP="001D0EE9">
      <w:pPr>
        <w:ind w:left="1560"/>
        <w:jc w:val="both"/>
        <w:rPr>
          <w:rFonts w:ascii="Verdana" w:hAnsi="Verdana" w:cs="Calibri"/>
          <w:sz w:val="20"/>
          <w:szCs w:val="20"/>
        </w:rPr>
      </w:pPr>
    </w:p>
    <w:p w14:paraId="769B7681" w14:textId="77777777" w:rsidR="001D0EE9" w:rsidRDefault="001D0EE9" w:rsidP="001D0EE9">
      <w:pPr>
        <w:autoSpaceDE w:val="0"/>
        <w:autoSpaceDN w:val="0"/>
        <w:adjustRightInd w:val="0"/>
        <w:ind w:left="1560"/>
        <w:jc w:val="both"/>
        <w:rPr>
          <w:rFonts w:ascii="Verdana" w:hAnsi="Verdana" w:cs="Calibri,Bold"/>
          <w:b/>
          <w:bCs/>
          <w:sz w:val="20"/>
          <w:szCs w:val="20"/>
        </w:rPr>
      </w:pPr>
      <w:r>
        <w:rPr>
          <w:rFonts w:ascii="Verdana" w:hAnsi="Verdana" w:cs="Calibri,Bold"/>
          <w:b/>
          <w:bCs/>
          <w:sz w:val="20"/>
          <w:szCs w:val="20"/>
        </w:rPr>
        <w:t>Article 5 : Domaine d'application de la médiation</w:t>
      </w:r>
    </w:p>
    <w:p w14:paraId="451E29ED" w14:textId="77777777" w:rsidR="001D0EE9" w:rsidRDefault="001D0EE9" w:rsidP="001D0EE9">
      <w:pPr>
        <w:autoSpaceDE w:val="0"/>
        <w:autoSpaceDN w:val="0"/>
        <w:adjustRightInd w:val="0"/>
        <w:ind w:left="1560"/>
        <w:jc w:val="both"/>
        <w:rPr>
          <w:rFonts w:ascii="Verdana" w:hAnsi="Verdana" w:cs="Calibri,Bold"/>
          <w:b/>
          <w:bCs/>
          <w:sz w:val="20"/>
          <w:szCs w:val="20"/>
        </w:rPr>
      </w:pPr>
    </w:p>
    <w:p w14:paraId="313B34B4"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Bold"/>
          <w:bCs/>
          <w:sz w:val="20"/>
          <w:szCs w:val="20"/>
        </w:rPr>
        <w:t>Conformément</w:t>
      </w:r>
      <w:r>
        <w:rPr>
          <w:rFonts w:ascii="Verdana" w:hAnsi="Verdana" w:cs="Calibri"/>
          <w:sz w:val="20"/>
          <w:szCs w:val="20"/>
        </w:rPr>
        <w:t xml:space="preserve"> à l'article 2 du décret n° 2022-433 du 25 mars 2022 relatif à la procédure de médiation préalable obligatoire applicable à certains litiges de la fonction publique et à certains litiges sociaux, le maire ou le président de………………………………………………………… s’engage à soumettre à la procédure de médiation préalable obligatoire, prévue par l'article L. 213-11 du code de justice administrative, les recours formés par ses agents publics à l'encontre des décisions administratives suivantes :</w:t>
      </w:r>
    </w:p>
    <w:p w14:paraId="47619B6E" w14:textId="77777777" w:rsidR="001D0EE9" w:rsidRDefault="001D0EE9" w:rsidP="001D0EE9">
      <w:pPr>
        <w:autoSpaceDE w:val="0"/>
        <w:autoSpaceDN w:val="0"/>
        <w:adjustRightInd w:val="0"/>
        <w:ind w:left="1560"/>
        <w:jc w:val="both"/>
        <w:rPr>
          <w:rFonts w:ascii="Verdana" w:hAnsi="Verdana" w:cs="Calibri"/>
          <w:sz w:val="20"/>
          <w:szCs w:val="20"/>
        </w:rPr>
      </w:pPr>
    </w:p>
    <w:p w14:paraId="0694B417"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1° Décisions administratives individuelles défavorables relatives à l'un des éléments de rémunération mentionnés à l'article L. 712-1 du code général de la fonction publique ;</w:t>
      </w:r>
    </w:p>
    <w:p w14:paraId="11CD83C4"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2° Refus de détachement ou de placement en disponibilité et, pour les agents contractuels, refus de congés non rémunérés prévus aux articles 20, 22, 23 et 33-2 du décret du 17 janvier 1986 susvisé et 15, 17, 18 et 35-2 du décret du 15 février 1988 susvisé ;</w:t>
      </w:r>
    </w:p>
    <w:p w14:paraId="1444AC87"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3° Décisions administratives individuelles défavorables relatives à la réintégration à l'issue d'un détachement, d'un placement en disponibilité ou d'un congé parental ou relatives au réemploi d'un agent contractuel à l'issue d'un congé mentionné au 2° du présent article ;</w:t>
      </w:r>
    </w:p>
    <w:p w14:paraId="299B84F8"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4° Décisions administratives individuelles défavorables relatives au classement de l'agent à l'issue d'un avancement de grade ou d'un changement de corps ou cadre d'emploi obtenu par promotion interne ;</w:t>
      </w:r>
    </w:p>
    <w:p w14:paraId="4E48F456"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5° Décisions administratives individuelles défavorables relatives à la formation professionnelle tout au long de la vie ;</w:t>
      </w:r>
    </w:p>
    <w:p w14:paraId="5FD263B4"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6° Décisions administratives individuelles défavorables relatives aux mesures appropriées prises par les employeurs publics à l'égard des travailleurs handicapés en application des articles L. 131-8 et L. 131-10 du code général de la fonction publique ;</w:t>
      </w:r>
    </w:p>
    <w:p w14:paraId="2547CFC7"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7° Décisions administratives individuelles défavorables concernant l'aménagement des conditions de travail des fonctionnaires qui ne sont plus en mesure d'exercer leurs fonctions dans les conditions prévues par les décrets du 30 novembre 1984 et du 30 septembre 1985 susvisés.</w:t>
      </w:r>
    </w:p>
    <w:p w14:paraId="4EFAC189" w14:textId="77777777" w:rsidR="001D0EE9" w:rsidRDefault="001D0EE9" w:rsidP="001D0EE9">
      <w:pPr>
        <w:autoSpaceDE w:val="0"/>
        <w:autoSpaceDN w:val="0"/>
        <w:adjustRightInd w:val="0"/>
        <w:ind w:left="1560"/>
        <w:jc w:val="both"/>
        <w:rPr>
          <w:rFonts w:ascii="Verdana" w:hAnsi="Verdana" w:cs="Calibri,Bold"/>
          <w:b/>
          <w:bCs/>
          <w:sz w:val="20"/>
          <w:szCs w:val="20"/>
        </w:rPr>
      </w:pPr>
    </w:p>
    <w:p w14:paraId="04DF801C" w14:textId="77777777" w:rsidR="001D0EE9" w:rsidRDefault="001D0EE9" w:rsidP="001D0EE9">
      <w:pPr>
        <w:autoSpaceDE w:val="0"/>
        <w:autoSpaceDN w:val="0"/>
        <w:adjustRightInd w:val="0"/>
        <w:ind w:left="1560"/>
        <w:jc w:val="both"/>
        <w:rPr>
          <w:rFonts w:ascii="Verdana" w:hAnsi="Verdana" w:cs="Calibri,Bold"/>
          <w:b/>
          <w:bCs/>
          <w:sz w:val="20"/>
          <w:szCs w:val="20"/>
        </w:rPr>
      </w:pPr>
    </w:p>
    <w:p w14:paraId="0D4275C3" w14:textId="77777777" w:rsidR="001D0EE9" w:rsidRDefault="001D0EE9" w:rsidP="001D0EE9">
      <w:pPr>
        <w:autoSpaceDE w:val="0"/>
        <w:autoSpaceDN w:val="0"/>
        <w:adjustRightInd w:val="0"/>
        <w:ind w:left="1560"/>
        <w:jc w:val="both"/>
        <w:rPr>
          <w:rFonts w:ascii="Verdana" w:hAnsi="Verdana" w:cs="Calibri,Bold"/>
          <w:b/>
          <w:bCs/>
          <w:sz w:val="20"/>
          <w:szCs w:val="20"/>
        </w:rPr>
      </w:pPr>
    </w:p>
    <w:p w14:paraId="49AC672C"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Bold"/>
          <w:b/>
          <w:bCs/>
          <w:sz w:val="20"/>
          <w:szCs w:val="20"/>
        </w:rPr>
        <w:t xml:space="preserve">Article 6 </w:t>
      </w:r>
      <w:r>
        <w:rPr>
          <w:rFonts w:ascii="Verdana" w:hAnsi="Verdana" w:cs="Calibri"/>
          <w:sz w:val="20"/>
          <w:szCs w:val="20"/>
        </w:rPr>
        <w:t xml:space="preserve">: </w:t>
      </w:r>
      <w:r>
        <w:rPr>
          <w:rFonts w:ascii="Verdana" w:hAnsi="Verdana" w:cs="Calibri"/>
          <w:b/>
          <w:sz w:val="20"/>
          <w:szCs w:val="20"/>
        </w:rPr>
        <w:t>Conditions d'exercice de la médiation</w:t>
      </w:r>
      <w:r>
        <w:rPr>
          <w:rFonts w:ascii="Verdana" w:hAnsi="Verdana" w:cs="Calibri"/>
          <w:sz w:val="20"/>
          <w:szCs w:val="20"/>
        </w:rPr>
        <w:t xml:space="preserve"> </w:t>
      </w:r>
    </w:p>
    <w:p w14:paraId="75FED8B3" w14:textId="77777777" w:rsidR="001D0EE9" w:rsidRDefault="001D0EE9" w:rsidP="001D0EE9">
      <w:pPr>
        <w:autoSpaceDE w:val="0"/>
        <w:autoSpaceDN w:val="0"/>
        <w:adjustRightInd w:val="0"/>
        <w:ind w:left="1560"/>
        <w:jc w:val="both"/>
        <w:rPr>
          <w:rFonts w:ascii="Verdana" w:hAnsi="Verdana" w:cs="Calibri"/>
          <w:sz w:val="20"/>
          <w:szCs w:val="20"/>
        </w:rPr>
      </w:pPr>
    </w:p>
    <w:p w14:paraId="4CCC4370" w14:textId="77777777" w:rsidR="001D0EE9" w:rsidRDefault="001D0EE9" w:rsidP="001D0EE9">
      <w:pPr>
        <w:autoSpaceDE w:val="0"/>
        <w:autoSpaceDN w:val="0"/>
        <w:adjustRightInd w:val="0"/>
        <w:ind w:left="1560"/>
        <w:jc w:val="both"/>
        <w:rPr>
          <w:rFonts w:ascii="Verdana" w:hAnsi="Verdana" w:cs="Calibri,Bold"/>
          <w:b/>
          <w:bCs/>
          <w:sz w:val="20"/>
          <w:szCs w:val="20"/>
        </w:rPr>
      </w:pPr>
      <w:r>
        <w:rPr>
          <w:rFonts w:ascii="Verdana" w:hAnsi="Verdana" w:cs="Calibri"/>
          <w:sz w:val="20"/>
          <w:szCs w:val="20"/>
        </w:rPr>
        <w:t>La MPO pour les contentieux qu’elle recouvre, suppose un déclenchement automatique du processus de médiation.</w:t>
      </w:r>
    </w:p>
    <w:p w14:paraId="5343F5A1" w14:textId="77777777" w:rsidR="001D0EE9" w:rsidRDefault="001D0EE9" w:rsidP="001D0EE9">
      <w:pPr>
        <w:autoSpaceDE w:val="0"/>
        <w:autoSpaceDN w:val="0"/>
        <w:adjustRightInd w:val="0"/>
        <w:ind w:left="1560"/>
        <w:jc w:val="both"/>
        <w:rPr>
          <w:rFonts w:ascii="Verdana" w:hAnsi="Verdana" w:cs="Calibri"/>
          <w:sz w:val="20"/>
          <w:szCs w:val="20"/>
        </w:rPr>
      </w:pPr>
    </w:p>
    <w:p w14:paraId="71330870"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La décision administrative doit donc comporter expressément la procédure de médiation préalable obligatoire dans l’indication des délais et voies de recours (adresse du Centre de Gestion et/ou mail de saisine). À défaut, le délai de recours contentieux ne court pas à l’encontre de la décision litigieuse.</w:t>
      </w:r>
    </w:p>
    <w:p w14:paraId="4DD7A08E" w14:textId="77777777" w:rsidR="001D0EE9" w:rsidRDefault="001D0EE9" w:rsidP="001D0EE9">
      <w:pPr>
        <w:autoSpaceDE w:val="0"/>
        <w:autoSpaceDN w:val="0"/>
        <w:adjustRightInd w:val="0"/>
        <w:ind w:left="1560"/>
        <w:jc w:val="both"/>
        <w:rPr>
          <w:rFonts w:ascii="Verdana" w:hAnsi="Verdana" w:cs="Calibri"/>
          <w:sz w:val="20"/>
          <w:szCs w:val="20"/>
        </w:rPr>
      </w:pPr>
    </w:p>
    <w:p w14:paraId="643748C4"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 (Article L213-13 du code de justice administrative).</w:t>
      </w:r>
    </w:p>
    <w:p w14:paraId="37EF7799" w14:textId="77777777" w:rsidR="001D0EE9" w:rsidRDefault="001D0EE9" w:rsidP="001D0EE9">
      <w:pPr>
        <w:autoSpaceDE w:val="0"/>
        <w:autoSpaceDN w:val="0"/>
        <w:adjustRightInd w:val="0"/>
        <w:ind w:left="1560"/>
        <w:jc w:val="both"/>
        <w:rPr>
          <w:rFonts w:ascii="Verdana" w:hAnsi="Verdana" w:cs="Calibri"/>
          <w:sz w:val="20"/>
          <w:szCs w:val="20"/>
        </w:rPr>
      </w:pPr>
    </w:p>
    <w:p w14:paraId="78CBEDBD"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La médiation préalable s'exerce dans les conditions prévues aux section 1 et 4 du chapitre III du titre Ier du livre II du code de justice administrative, sous réserve des dispositions du décret 2022-433 susvisé. Elle doit être engagée dans le délai de recours contentieux, de deux mois, prévu à l'article R. 421-1 du code de justice administrative, majoré, le cas échéant, dans les conditions prévues à l'article R. 421-7 du même code, auprès du médiateur compétent.</w:t>
      </w:r>
    </w:p>
    <w:p w14:paraId="426C5E9A"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L'autorité administrative doit informer l'intéressé de cette obligation et lui indiquer les coordonnées du médiateur compétent. A défaut, le délai de recours contentieux ne court pas à l'encontre de la décision litigieuse.</w:t>
      </w:r>
    </w:p>
    <w:p w14:paraId="527605FF"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La saisine du médiateur comprend une lettre de saisine de l'intéressé et, lorsque la décision contestée est explicite, une copie de cette décision ou, lorsqu'elle est implicite, une copie de la demande ayant fait naître cette décision.</w:t>
      </w:r>
    </w:p>
    <w:p w14:paraId="14D0EF7E" w14:textId="77777777" w:rsidR="001D0EE9" w:rsidRDefault="001D0EE9" w:rsidP="001D0EE9">
      <w:pPr>
        <w:autoSpaceDE w:val="0"/>
        <w:autoSpaceDN w:val="0"/>
        <w:adjustRightInd w:val="0"/>
        <w:ind w:left="1560"/>
        <w:jc w:val="both"/>
        <w:rPr>
          <w:rFonts w:ascii="Verdana" w:hAnsi="Verdana" w:cs="Calibri"/>
          <w:sz w:val="20"/>
          <w:szCs w:val="20"/>
        </w:rPr>
      </w:pPr>
    </w:p>
    <w:p w14:paraId="2E805ECF"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En application des dispositions des articles L. 213-6 et L. 213-13 du code de justice administrative, la saisine du médiateur interrompt le délai de recours contentieux et suspend les délais de prescription, qui recommencent à courir à compter de la date à laquelle soit l'une des parties ou les deux, soit le médiateur déclarent, de façon non équivoque et par tout moyen permettant d'en attester la connaissance par l'ensemble des parties, que la médiation est terminée.</w:t>
      </w:r>
    </w:p>
    <w:p w14:paraId="0DC20138"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Conformément aux dispositions de l'article R. 213-4 du code de justice administrative, l'exercice d'un recours gracieux ou hiérarchique après l'organisation de la médiation n'interrompt pas de nouveau le délai de recours. </w:t>
      </w:r>
    </w:p>
    <w:p w14:paraId="66B588E6" w14:textId="77777777" w:rsidR="001D0EE9" w:rsidRDefault="001D0EE9" w:rsidP="001D0EE9">
      <w:pPr>
        <w:autoSpaceDE w:val="0"/>
        <w:autoSpaceDN w:val="0"/>
        <w:adjustRightInd w:val="0"/>
        <w:ind w:left="1560"/>
        <w:jc w:val="both"/>
        <w:rPr>
          <w:rFonts w:ascii="Verdana" w:hAnsi="Verdana" w:cs="Calibri"/>
          <w:sz w:val="20"/>
          <w:szCs w:val="20"/>
        </w:rPr>
      </w:pPr>
    </w:p>
    <w:p w14:paraId="5D51CB4D"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 Lorsqu’intervient une décision de rejet explicite de la demande de retrait ou de réformation, celle-ci mentionne l’obligation de saisir par écrit le médiateur. Dans le cas contraire, le délai de recours contentieux ne court pas. La saisine du médiateur est accompagnée d'une copie de la demande ayant fait naître la décision contestée. </w:t>
      </w:r>
    </w:p>
    <w:p w14:paraId="25F12A75"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 Lorsqu’intervient une décision implicite de rejet de la demande de retrait ou de réformation, l’agent intéressé peut saisir le médiateur dans le délai de recours contentieux en accompagnant sa lettre de saisine d'une copie de la demande ayant fait naître la décision. </w:t>
      </w:r>
    </w:p>
    <w:p w14:paraId="2FF68A0B"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 Si le tribunal administratif est saisi dans le délai de recours d’une requête dirigée contre une décision entrant dans le champ de la MPO qui n’a pas </w:t>
      </w:r>
      <w:r>
        <w:rPr>
          <w:rFonts w:ascii="Verdana" w:hAnsi="Verdana" w:cs="Calibri"/>
          <w:sz w:val="20"/>
          <w:szCs w:val="20"/>
        </w:rPr>
        <w:lastRenderedPageBreak/>
        <w:t>été précédée d’un recours préalable à la médiation, le président de la formation de jugement rejette la requête par ordonnance et transmet le dossier au médiateur compétent.</w:t>
      </w:r>
    </w:p>
    <w:p w14:paraId="201AA309" w14:textId="77777777" w:rsidR="001D0EE9" w:rsidRDefault="001D0EE9" w:rsidP="001D0EE9">
      <w:pPr>
        <w:autoSpaceDE w:val="0"/>
        <w:autoSpaceDN w:val="0"/>
        <w:adjustRightInd w:val="0"/>
        <w:ind w:left="1560"/>
        <w:jc w:val="both"/>
        <w:rPr>
          <w:rFonts w:ascii="Verdana" w:hAnsi="Verdana" w:cs="Calibri"/>
          <w:sz w:val="20"/>
          <w:szCs w:val="20"/>
        </w:rPr>
      </w:pPr>
    </w:p>
    <w:p w14:paraId="38ED5E58"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La MPO étant une condition de recevabilité de la saisine du juge, indépendamment de l’interruption des délais de recours, il reviendra aux parties de justifier devant le juge administratif saisi d’un recours, du respect de la procédure préalable obligatoire à peine d’irrecevabilité.</w:t>
      </w:r>
    </w:p>
    <w:p w14:paraId="05493A27" w14:textId="77777777" w:rsidR="001D0EE9" w:rsidRDefault="001D0EE9" w:rsidP="001D0EE9">
      <w:pPr>
        <w:autoSpaceDE w:val="0"/>
        <w:autoSpaceDN w:val="0"/>
        <w:adjustRightInd w:val="0"/>
        <w:ind w:left="1560"/>
        <w:jc w:val="both"/>
        <w:rPr>
          <w:rFonts w:ascii="Verdana" w:hAnsi="Verdana" w:cs="Calibri"/>
          <w:sz w:val="20"/>
          <w:szCs w:val="20"/>
        </w:rPr>
      </w:pPr>
    </w:p>
    <w:p w14:paraId="65489806"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Lorsque la médiation prend fin à l'initiative de l'une des parties ou du médiateur lui-même, ce dernier notifie aux parties un acte de fin de médiation, ne constituant pas pour autant une décision administrative, et sans qu'il soit de nouveau besoin d'indiquer les voies et délais de recours.  </w:t>
      </w:r>
    </w:p>
    <w:p w14:paraId="2CFCFE50" w14:textId="77777777" w:rsidR="001D0EE9" w:rsidRDefault="001D0EE9" w:rsidP="001D0EE9">
      <w:pPr>
        <w:ind w:left="1560"/>
        <w:jc w:val="both"/>
        <w:rPr>
          <w:rFonts w:ascii="Verdana" w:hAnsi="Verdana" w:cs="Calibri"/>
          <w:sz w:val="20"/>
          <w:szCs w:val="20"/>
        </w:rPr>
      </w:pPr>
    </w:p>
    <w:p w14:paraId="00B51EA1"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Bold"/>
          <w:b/>
          <w:bCs/>
          <w:sz w:val="20"/>
          <w:szCs w:val="20"/>
        </w:rPr>
        <w:t xml:space="preserve">Article 7 </w:t>
      </w:r>
      <w:r>
        <w:rPr>
          <w:rFonts w:ascii="Verdana" w:hAnsi="Verdana" w:cs="Calibri"/>
          <w:sz w:val="20"/>
          <w:szCs w:val="20"/>
        </w:rPr>
        <w:t xml:space="preserve">: </w:t>
      </w:r>
      <w:r>
        <w:rPr>
          <w:rFonts w:ascii="Verdana" w:hAnsi="Verdana" w:cs="Calibri"/>
          <w:b/>
          <w:sz w:val="20"/>
          <w:szCs w:val="20"/>
        </w:rPr>
        <w:t>Durée et fin du processus de médiation</w:t>
      </w:r>
    </w:p>
    <w:p w14:paraId="3F64B89E" w14:textId="77777777" w:rsidR="001D0EE9" w:rsidRDefault="001D0EE9" w:rsidP="001D0EE9">
      <w:pPr>
        <w:autoSpaceDE w:val="0"/>
        <w:autoSpaceDN w:val="0"/>
        <w:adjustRightInd w:val="0"/>
        <w:ind w:left="1560"/>
        <w:jc w:val="both"/>
        <w:rPr>
          <w:rFonts w:ascii="Verdana" w:hAnsi="Verdana" w:cs="Calibri"/>
          <w:sz w:val="20"/>
          <w:szCs w:val="20"/>
        </w:rPr>
      </w:pPr>
    </w:p>
    <w:p w14:paraId="160B4CBC"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La durée de la mission de médiation est de 3 mois, mais peut être prolongée une fois. Il peut être mis fin à la médiation à tout moment, à la demande de l'une des parties ou du médiateur. </w:t>
      </w:r>
    </w:p>
    <w:p w14:paraId="4A8B843D"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Lorsque les parties ne sont pas parvenues à un accord, le juge peut être saisi d’un recours dans les conditions normales (articles R. 413 et suivants du CJA). </w:t>
      </w:r>
    </w:p>
    <w:p w14:paraId="655CFDFC"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Inversement, les parties peuvent saisir la juridiction de conclusions tendant à l’homologation l’accord issu de la médiation et à lui donner force exécutoire (article L 213-4 du CJA). Son instruction s’effectuera dans les conditions de droit commun.</w:t>
      </w:r>
    </w:p>
    <w:p w14:paraId="3B88A6FB" w14:textId="77777777" w:rsidR="001D0EE9" w:rsidRDefault="001D0EE9" w:rsidP="001D0EE9">
      <w:pPr>
        <w:autoSpaceDE w:val="0"/>
        <w:autoSpaceDN w:val="0"/>
        <w:adjustRightInd w:val="0"/>
        <w:ind w:left="1560"/>
        <w:jc w:val="both"/>
        <w:rPr>
          <w:rFonts w:ascii="Verdana" w:hAnsi="Verdana" w:cs="Calibri,Bold"/>
          <w:b/>
          <w:bCs/>
          <w:sz w:val="20"/>
          <w:szCs w:val="20"/>
        </w:rPr>
      </w:pPr>
    </w:p>
    <w:p w14:paraId="047ABD62" w14:textId="77777777" w:rsidR="001D0EE9" w:rsidRDefault="001D0EE9" w:rsidP="001D0EE9">
      <w:pPr>
        <w:autoSpaceDE w:val="0"/>
        <w:autoSpaceDN w:val="0"/>
        <w:adjustRightInd w:val="0"/>
        <w:ind w:left="1560"/>
        <w:jc w:val="both"/>
        <w:rPr>
          <w:rFonts w:ascii="Verdana" w:hAnsi="Verdana" w:cs="Calibri,Bold"/>
          <w:b/>
          <w:bCs/>
          <w:sz w:val="20"/>
          <w:szCs w:val="20"/>
        </w:rPr>
      </w:pPr>
    </w:p>
    <w:p w14:paraId="73C0160A"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Bold"/>
          <w:b/>
          <w:bCs/>
          <w:sz w:val="20"/>
          <w:szCs w:val="20"/>
        </w:rPr>
        <w:t xml:space="preserve">Article 8 </w:t>
      </w:r>
      <w:r>
        <w:rPr>
          <w:rFonts w:ascii="Verdana" w:hAnsi="Verdana" w:cs="Calibri"/>
          <w:sz w:val="20"/>
          <w:szCs w:val="20"/>
        </w:rPr>
        <w:t xml:space="preserve">: </w:t>
      </w:r>
      <w:r>
        <w:rPr>
          <w:rFonts w:ascii="Verdana" w:hAnsi="Verdana" w:cs="Calibri"/>
          <w:b/>
          <w:sz w:val="20"/>
          <w:szCs w:val="20"/>
        </w:rPr>
        <w:t>Tarification et modalités de facturation du recours à la médiation</w:t>
      </w:r>
    </w:p>
    <w:p w14:paraId="2B1A7BBD" w14:textId="77777777" w:rsidR="001D0EE9" w:rsidRDefault="001D0EE9" w:rsidP="001D0EE9">
      <w:pPr>
        <w:autoSpaceDE w:val="0"/>
        <w:autoSpaceDN w:val="0"/>
        <w:adjustRightInd w:val="0"/>
        <w:ind w:left="1560"/>
        <w:jc w:val="both"/>
        <w:rPr>
          <w:rFonts w:ascii="Verdana" w:hAnsi="Verdana" w:cs="Calibri"/>
          <w:sz w:val="20"/>
          <w:szCs w:val="20"/>
        </w:rPr>
      </w:pPr>
    </w:p>
    <w:p w14:paraId="3209D01C"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Si le processus de MPO présente un caractère gratuit pour les parties, il s’inscrit néanmoins dans la cadre des dépenses afférentes à l'accomplissement des missions financées dans les conditions fixées par l’article L452-30 du code général de la fonction publique, aussi, l’engagement de la collectivité ou de l’établissement signataire d’y recourir comporte une participation financière.</w:t>
      </w:r>
    </w:p>
    <w:p w14:paraId="3D81A2D4"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L’intervention du Centre de Gestion fait ainsi l’objet d’une participation de ce dernier à hauteur de 50 euros par heure d’intervention du Centre de Gestion entendue strictement comme le temps de présence passé par la personne physique désignée auprès de l’une, de l’autre ou des parties.</w:t>
      </w:r>
    </w:p>
    <w:p w14:paraId="315084FF" w14:textId="77777777" w:rsidR="001D0EE9" w:rsidRDefault="001D0EE9" w:rsidP="001D0EE9">
      <w:pPr>
        <w:autoSpaceDE w:val="0"/>
        <w:autoSpaceDN w:val="0"/>
        <w:adjustRightInd w:val="0"/>
        <w:ind w:left="1560"/>
        <w:jc w:val="both"/>
        <w:rPr>
          <w:rFonts w:ascii="Verdana" w:hAnsi="Verdana" w:cs="Calibri"/>
          <w:sz w:val="20"/>
          <w:szCs w:val="20"/>
        </w:rPr>
      </w:pPr>
    </w:p>
    <w:p w14:paraId="790AE647" w14:textId="77777777" w:rsidR="001D0EE9" w:rsidRDefault="001D0EE9" w:rsidP="001D0EE9">
      <w:pPr>
        <w:autoSpaceDE w:val="0"/>
        <w:autoSpaceDN w:val="0"/>
        <w:adjustRightInd w:val="0"/>
        <w:ind w:left="1560"/>
        <w:jc w:val="both"/>
        <w:rPr>
          <w:rFonts w:ascii="Verdana" w:hAnsi="Verdana" w:cs="Calibri,Bold"/>
          <w:b/>
          <w:bCs/>
          <w:sz w:val="20"/>
          <w:szCs w:val="20"/>
        </w:rPr>
      </w:pPr>
    </w:p>
    <w:p w14:paraId="3231221D"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Bold"/>
          <w:b/>
          <w:bCs/>
          <w:sz w:val="20"/>
          <w:szCs w:val="20"/>
        </w:rPr>
        <w:t xml:space="preserve">Article 9 </w:t>
      </w:r>
      <w:r>
        <w:rPr>
          <w:rFonts w:ascii="Verdana" w:hAnsi="Verdana" w:cs="Calibri"/>
          <w:sz w:val="20"/>
          <w:szCs w:val="20"/>
        </w:rPr>
        <w:t xml:space="preserve">: </w:t>
      </w:r>
      <w:r>
        <w:rPr>
          <w:rFonts w:ascii="Verdana" w:hAnsi="Verdana" w:cs="Calibri"/>
          <w:b/>
          <w:sz w:val="20"/>
          <w:szCs w:val="20"/>
        </w:rPr>
        <w:t xml:space="preserve">Durée de la convention </w:t>
      </w:r>
    </w:p>
    <w:p w14:paraId="21F670CD" w14:textId="77777777" w:rsidR="001D0EE9" w:rsidRDefault="001D0EE9" w:rsidP="001D0EE9">
      <w:pPr>
        <w:autoSpaceDE w:val="0"/>
        <w:autoSpaceDN w:val="0"/>
        <w:adjustRightInd w:val="0"/>
        <w:ind w:left="1560"/>
        <w:jc w:val="both"/>
        <w:rPr>
          <w:rFonts w:ascii="Verdana" w:hAnsi="Verdana" w:cs="Calibri"/>
          <w:sz w:val="20"/>
          <w:szCs w:val="20"/>
        </w:rPr>
      </w:pPr>
    </w:p>
    <w:p w14:paraId="06524025"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La présente convention prend effet à compter de sa date de signature par l’ensemble des parties.</w:t>
      </w:r>
    </w:p>
    <w:p w14:paraId="1C736C7D"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Chaque partie a la possibilité de dénoncer la présente convention avec un préavis de 3 mois.</w:t>
      </w:r>
    </w:p>
    <w:p w14:paraId="1315AEDC" w14:textId="77777777" w:rsidR="001D0EE9" w:rsidRDefault="001D0EE9" w:rsidP="001D0EE9">
      <w:pPr>
        <w:autoSpaceDE w:val="0"/>
        <w:autoSpaceDN w:val="0"/>
        <w:adjustRightInd w:val="0"/>
        <w:ind w:left="1560"/>
        <w:jc w:val="both"/>
        <w:rPr>
          <w:rFonts w:ascii="Verdana" w:hAnsi="Verdana" w:cs="Calibri"/>
          <w:sz w:val="20"/>
          <w:szCs w:val="20"/>
        </w:rPr>
      </w:pPr>
    </w:p>
    <w:p w14:paraId="41E1F148" w14:textId="77777777" w:rsidR="001D0EE9" w:rsidRDefault="001D0EE9" w:rsidP="001D0EE9">
      <w:pPr>
        <w:autoSpaceDE w:val="0"/>
        <w:autoSpaceDN w:val="0"/>
        <w:adjustRightInd w:val="0"/>
        <w:ind w:left="1560"/>
        <w:jc w:val="both"/>
        <w:rPr>
          <w:rFonts w:ascii="Verdana" w:hAnsi="Verdana" w:cs="Calibri"/>
          <w:sz w:val="20"/>
          <w:szCs w:val="20"/>
        </w:rPr>
      </w:pPr>
    </w:p>
    <w:p w14:paraId="13F23C50"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Bold"/>
          <w:b/>
          <w:bCs/>
          <w:sz w:val="20"/>
          <w:szCs w:val="20"/>
        </w:rPr>
        <w:t>Article 10 : Information des juridictions administratives</w:t>
      </w:r>
    </w:p>
    <w:p w14:paraId="4F0084C8" w14:textId="77777777" w:rsidR="001D0EE9" w:rsidRDefault="001D0EE9" w:rsidP="001D0EE9">
      <w:pPr>
        <w:autoSpaceDE w:val="0"/>
        <w:autoSpaceDN w:val="0"/>
        <w:adjustRightInd w:val="0"/>
        <w:ind w:left="1560"/>
        <w:jc w:val="both"/>
        <w:rPr>
          <w:rFonts w:ascii="Verdana" w:hAnsi="Verdana" w:cs="Calibri"/>
          <w:sz w:val="20"/>
          <w:szCs w:val="20"/>
        </w:rPr>
      </w:pPr>
    </w:p>
    <w:p w14:paraId="61F2BD94"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 xml:space="preserve">Le Centre de Gestion informe le Tribunal Administratif et la Cour Administrative d'Appel territorialement compétents de la signature de la présente par la collectivité ou l'établissement. </w:t>
      </w:r>
    </w:p>
    <w:p w14:paraId="385FB733" w14:textId="77777777" w:rsidR="001D0EE9" w:rsidRDefault="001D0EE9" w:rsidP="001D0EE9">
      <w:pPr>
        <w:autoSpaceDE w:val="0"/>
        <w:autoSpaceDN w:val="0"/>
        <w:adjustRightInd w:val="0"/>
        <w:ind w:left="1560"/>
        <w:jc w:val="both"/>
        <w:rPr>
          <w:rFonts w:ascii="Verdana" w:hAnsi="Verdana" w:cs="Calibri,Bold"/>
          <w:b/>
          <w:bCs/>
          <w:sz w:val="20"/>
          <w:szCs w:val="20"/>
        </w:rPr>
      </w:pPr>
    </w:p>
    <w:p w14:paraId="4B03F099" w14:textId="77777777" w:rsidR="001D0EE9" w:rsidRDefault="001D0EE9" w:rsidP="001D0EE9">
      <w:pPr>
        <w:autoSpaceDE w:val="0"/>
        <w:autoSpaceDN w:val="0"/>
        <w:adjustRightInd w:val="0"/>
        <w:ind w:left="1560"/>
        <w:jc w:val="both"/>
        <w:rPr>
          <w:rFonts w:ascii="Verdana" w:hAnsi="Verdana" w:cs="Calibri,Bold"/>
          <w:b/>
          <w:bCs/>
          <w:sz w:val="20"/>
          <w:szCs w:val="20"/>
        </w:rPr>
      </w:pPr>
    </w:p>
    <w:p w14:paraId="71320BF3" w14:textId="77777777" w:rsidR="001D0EE9" w:rsidRDefault="001D0EE9" w:rsidP="001D0EE9">
      <w:pPr>
        <w:autoSpaceDE w:val="0"/>
        <w:autoSpaceDN w:val="0"/>
        <w:adjustRightInd w:val="0"/>
        <w:ind w:left="1560"/>
        <w:jc w:val="both"/>
        <w:rPr>
          <w:rFonts w:ascii="Verdana" w:hAnsi="Verdana" w:cs="Calibri,Bold"/>
          <w:b/>
          <w:bCs/>
          <w:sz w:val="20"/>
          <w:szCs w:val="20"/>
        </w:rPr>
      </w:pPr>
      <w:r>
        <w:rPr>
          <w:rFonts w:ascii="Verdana" w:hAnsi="Verdana" w:cs="Calibri,Bold"/>
          <w:b/>
          <w:bCs/>
          <w:sz w:val="20"/>
          <w:szCs w:val="20"/>
        </w:rPr>
        <w:t>Article 11 : Règlement des litiges nés de la convention</w:t>
      </w:r>
    </w:p>
    <w:p w14:paraId="28015879" w14:textId="77777777" w:rsidR="001D0EE9" w:rsidRDefault="001D0EE9" w:rsidP="001D0EE9">
      <w:pPr>
        <w:autoSpaceDE w:val="0"/>
        <w:autoSpaceDN w:val="0"/>
        <w:adjustRightInd w:val="0"/>
        <w:ind w:left="1560"/>
        <w:jc w:val="both"/>
        <w:rPr>
          <w:rFonts w:ascii="Verdana" w:hAnsi="Verdana" w:cs="Calibri,Bold"/>
          <w:b/>
          <w:bCs/>
          <w:sz w:val="20"/>
          <w:szCs w:val="20"/>
        </w:rPr>
      </w:pPr>
    </w:p>
    <w:p w14:paraId="56ABE2B6" w14:textId="77777777" w:rsidR="001D0EE9" w:rsidRDefault="001D0EE9" w:rsidP="001D0EE9">
      <w:pPr>
        <w:autoSpaceDE w:val="0"/>
        <w:autoSpaceDN w:val="0"/>
        <w:adjustRightInd w:val="0"/>
        <w:ind w:left="1560"/>
        <w:jc w:val="both"/>
        <w:rPr>
          <w:rFonts w:ascii="Verdana" w:hAnsi="Verdana" w:cs="Calibri"/>
          <w:sz w:val="20"/>
          <w:szCs w:val="20"/>
        </w:rPr>
      </w:pPr>
      <w:r>
        <w:rPr>
          <w:rFonts w:ascii="Verdana" w:hAnsi="Verdana" w:cs="Calibri"/>
          <w:sz w:val="20"/>
          <w:szCs w:val="20"/>
        </w:rPr>
        <w:t>Les litiges relatifs à la présente convention seront portés devant le tribunal administratif de Nantes</w:t>
      </w:r>
    </w:p>
    <w:p w14:paraId="1B254845" w14:textId="77777777" w:rsidR="001D0EE9" w:rsidRDefault="001D0EE9" w:rsidP="001D0EE9">
      <w:pPr>
        <w:ind w:left="1560"/>
        <w:jc w:val="both"/>
        <w:rPr>
          <w:rFonts w:ascii="Verdana" w:hAnsi="Verdana" w:cs="Calibri"/>
          <w:sz w:val="20"/>
          <w:szCs w:val="20"/>
        </w:rPr>
      </w:pPr>
    </w:p>
    <w:p w14:paraId="005244FB" w14:textId="77777777" w:rsidR="001D0EE9" w:rsidRDefault="001D0EE9" w:rsidP="001D0EE9">
      <w:pPr>
        <w:ind w:left="1560"/>
        <w:jc w:val="both"/>
        <w:rPr>
          <w:rFonts w:ascii="Verdana" w:hAnsi="Verdana" w:cs="Calibri"/>
          <w:sz w:val="20"/>
          <w:szCs w:val="20"/>
        </w:rPr>
      </w:pPr>
      <w:r>
        <w:rPr>
          <w:rFonts w:ascii="Verdana" w:hAnsi="Verdana" w:cs="Calibri"/>
          <w:sz w:val="20"/>
          <w:szCs w:val="20"/>
        </w:rPr>
        <w:t xml:space="preserve">Fait en 2 exemplaires </w:t>
      </w:r>
    </w:p>
    <w:p w14:paraId="6F2CF05A" w14:textId="77777777" w:rsidR="001D0EE9" w:rsidRDefault="001D0EE9" w:rsidP="001D0EE9">
      <w:pPr>
        <w:ind w:left="1560"/>
        <w:jc w:val="both"/>
        <w:rPr>
          <w:rFonts w:ascii="Verdana" w:hAnsi="Verdana" w:cs="Calibri"/>
          <w:sz w:val="20"/>
          <w:szCs w:val="20"/>
        </w:rPr>
      </w:pPr>
    </w:p>
    <w:p w14:paraId="2A0D9C1E" w14:textId="77777777" w:rsidR="001D0EE9" w:rsidRDefault="001D0EE9" w:rsidP="001D0EE9">
      <w:pPr>
        <w:ind w:left="1560"/>
        <w:jc w:val="both"/>
        <w:rPr>
          <w:rFonts w:ascii="Verdana" w:hAnsi="Verdana" w:cs="Calibri"/>
          <w:sz w:val="20"/>
          <w:szCs w:val="20"/>
        </w:rPr>
      </w:pPr>
    </w:p>
    <w:p w14:paraId="672AF0A8" w14:textId="77777777" w:rsidR="001D0EE9" w:rsidRPr="009C13A2" w:rsidRDefault="001D0EE9" w:rsidP="001D0EE9">
      <w:pPr>
        <w:tabs>
          <w:tab w:val="left" w:pos="5812"/>
        </w:tabs>
        <w:suppressAutoHyphens/>
        <w:ind w:left="540"/>
        <w:jc w:val="both"/>
        <w:rPr>
          <w:rFonts w:ascii="Verdana" w:hAnsi="Verdana"/>
          <w:sz w:val="20"/>
          <w:szCs w:val="20"/>
          <w:lang w:eastAsia="ar-SA"/>
        </w:rPr>
      </w:pPr>
      <w:r w:rsidRPr="009C13A2">
        <w:rPr>
          <w:rFonts w:ascii="Verdana" w:hAnsi="Verdana"/>
          <w:sz w:val="20"/>
          <w:szCs w:val="20"/>
          <w:lang w:eastAsia="ar-SA"/>
        </w:rPr>
        <w:t>Pour la collectivité adhérente :</w:t>
      </w:r>
      <w:r w:rsidRPr="009C13A2">
        <w:rPr>
          <w:rFonts w:ascii="Verdana" w:hAnsi="Verdana"/>
          <w:sz w:val="20"/>
          <w:szCs w:val="20"/>
          <w:lang w:eastAsia="ar-SA"/>
        </w:rPr>
        <w:tab/>
        <w:t>Pour le CDG :</w:t>
      </w:r>
    </w:p>
    <w:p w14:paraId="755F3AFD" w14:textId="77777777" w:rsidR="001D0EE9" w:rsidRPr="009C13A2" w:rsidRDefault="001D0EE9" w:rsidP="001D0EE9">
      <w:pPr>
        <w:tabs>
          <w:tab w:val="left" w:pos="5812"/>
        </w:tabs>
        <w:suppressAutoHyphens/>
        <w:ind w:left="540"/>
        <w:jc w:val="both"/>
        <w:rPr>
          <w:rFonts w:ascii="Verdana" w:hAnsi="Verdana"/>
          <w:sz w:val="20"/>
          <w:szCs w:val="20"/>
          <w:lang w:eastAsia="ar-SA"/>
        </w:rPr>
      </w:pPr>
    </w:p>
    <w:p w14:paraId="6166F392" w14:textId="77777777" w:rsidR="001D0EE9" w:rsidRPr="009C13A2" w:rsidRDefault="001D0EE9" w:rsidP="001D0EE9">
      <w:pPr>
        <w:tabs>
          <w:tab w:val="left" w:pos="5812"/>
        </w:tabs>
        <w:suppressAutoHyphens/>
        <w:ind w:left="540"/>
        <w:jc w:val="both"/>
        <w:rPr>
          <w:rFonts w:ascii="Verdana" w:hAnsi="Verdana"/>
          <w:sz w:val="20"/>
          <w:szCs w:val="20"/>
          <w:lang w:eastAsia="ar-SA"/>
        </w:rPr>
      </w:pPr>
    </w:p>
    <w:p w14:paraId="459B0506" w14:textId="77777777" w:rsidR="001D0EE9" w:rsidRPr="009C13A2" w:rsidRDefault="001D0EE9" w:rsidP="001D0EE9">
      <w:pPr>
        <w:tabs>
          <w:tab w:val="left" w:pos="5812"/>
        </w:tabs>
        <w:suppressAutoHyphens/>
        <w:ind w:left="540"/>
        <w:jc w:val="both"/>
        <w:rPr>
          <w:rFonts w:ascii="Verdana" w:hAnsi="Verdana"/>
          <w:sz w:val="20"/>
          <w:szCs w:val="20"/>
          <w:lang w:eastAsia="ar-SA"/>
        </w:rPr>
      </w:pPr>
      <w:r w:rsidRPr="009C13A2">
        <w:rPr>
          <w:rFonts w:ascii="Verdana" w:hAnsi="Verdana"/>
          <w:sz w:val="20"/>
          <w:szCs w:val="20"/>
          <w:lang w:eastAsia="ar-SA"/>
        </w:rPr>
        <w:t>Fait à .......................</w:t>
      </w:r>
      <w:r w:rsidRPr="009C13A2">
        <w:rPr>
          <w:rFonts w:ascii="Verdana" w:hAnsi="Verdana"/>
          <w:sz w:val="20"/>
          <w:szCs w:val="20"/>
          <w:lang w:eastAsia="ar-SA"/>
        </w:rPr>
        <w:tab/>
        <w:t>Fait à Angers</w:t>
      </w:r>
    </w:p>
    <w:p w14:paraId="671CA0FA" w14:textId="77777777" w:rsidR="001D0EE9" w:rsidRPr="009C13A2" w:rsidRDefault="001D0EE9" w:rsidP="001D0EE9">
      <w:pPr>
        <w:tabs>
          <w:tab w:val="left" w:pos="5812"/>
        </w:tabs>
        <w:suppressAutoHyphens/>
        <w:ind w:left="540"/>
        <w:jc w:val="both"/>
        <w:rPr>
          <w:rFonts w:ascii="Verdana" w:hAnsi="Verdana"/>
          <w:sz w:val="20"/>
          <w:szCs w:val="20"/>
          <w:lang w:eastAsia="ar-SA"/>
        </w:rPr>
      </w:pPr>
    </w:p>
    <w:p w14:paraId="505882F1" w14:textId="77777777" w:rsidR="001D0EE9" w:rsidRPr="009C13A2" w:rsidRDefault="001D0EE9" w:rsidP="001D0EE9">
      <w:pPr>
        <w:tabs>
          <w:tab w:val="left" w:pos="5812"/>
        </w:tabs>
        <w:suppressAutoHyphens/>
        <w:ind w:left="540"/>
        <w:jc w:val="both"/>
        <w:rPr>
          <w:rFonts w:ascii="Verdana" w:hAnsi="Verdana"/>
          <w:sz w:val="20"/>
          <w:szCs w:val="20"/>
          <w:lang w:eastAsia="ar-SA"/>
        </w:rPr>
      </w:pPr>
      <w:r w:rsidRPr="009C13A2">
        <w:rPr>
          <w:rFonts w:ascii="Verdana" w:hAnsi="Verdana"/>
          <w:sz w:val="20"/>
          <w:szCs w:val="20"/>
          <w:lang w:eastAsia="ar-SA"/>
        </w:rPr>
        <w:t>Le .......................</w:t>
      </w:r>
      <w:r w:rsidRPr="009C13A2">
        <w:rPr>
          <w:rFonts w:ascii="Verdana" w:hAnsi="Verdana"/>
          <w:sz w:val="20"/>
          <w:szCs w:val="20"/>
          <w:lang w:eastAsia="ar-SA"/>
        </w:rPr>
        <w:tab/>
        <w:t>Le .....................</w:t>
      </w:r>
    </w:p>
    <w:p w14:paraId="6EA43582" w14:textId="77777777" w:rsidR="001D0EE9" w:rsidRPr="009C13A2" w:rsidRDefault="001D0EE9" w:rsidP="001D0EE9">
      <w:pPr>
        <w:tabs>
          <w:tab w:val="left" w:pos="5812"/>
        </w:tabs>
        <w:suppressAutoHyphens/>
        <w:ind w:left="540"/>
        <w:jc w:val="both"/>
        <w:rPr>
          <w:rFonts w:ascii="Verdana" w:hAnsi="Verdana"/>
          <w:sz w:val="20"/>
          <w:szCs w:val="20"/>
          <w:lang w:eastAsia="ar-SA"/>
        </w:rPr>
      </w:pPr>
    </w:p>
    <w:p w14:paraId="2CA5B3E3" w14:textId="77777777" w:rsidR="001D0EE9" w:rsidRPr="009C13A2" w:rsidRDefault="001D0EE9" w:rsidP="001D0EE9">
      <w:pPr>
        <w:tabs>
          <w:tab w:val="left" w:pos="5812"/>
        </w:tabs>
        <w:suppressAutoHyphens/>
        <w:ind w:left="540"/>
        <w:jc w:val="both"/>
        <w:rPr>
          <w:rFonts w:ascii="Verdana" w:hAnsi="Verdana"/>
          <w:sz w:val="20"/>
          <w:szCs w:val="20"/>
          <w:lang w:eastAsia="ar-SA"/>
        </w:rPr>
      </w:pPr>
      <w:r w:rsidRPr="009C13A2">
        <w:rPr>
          <w:rFonts w:ascii="Verdana" w:hAnsi="Verdana"/>
          <w:sz w:val="20"/>
          <w:szCs w:val="20"/>
          <w:lang w:eastAsia="ar-SA"/>
        </w:rPr>
        <w:t>Le Maire / Le Président</w:t>
      </w:r>
      <w:r w:rsidRPr="009C13A2">
        <w:rPr>
          <w:rFonts w:ascii="Verdana" w:hAnsi="Verdana"/>
          <w:sz w:val="20"/>
          <w:szCs w:val="20"/>
          <w:lang w:eastAsia="ar-SA"/>
        </w:rPr>
        <w:tab/>
        <w:t>La Présidente du</w:t>
      </w:r>
    </w:p>
    <w:p w14:paraId="6BF2E873" w14:textId="77777777" w:rsidR="001D0EE9" w:rsidRPr="009C13A2" w:rsidRDefault="001D0EE9" w:rsidP="001D0EE9">
      <w:pPr>
        <w:tabs>
          <w:tab w:val="left" w:pos="5812"/>
        </w:tabs>
        <w:suppressAutoHyphens/>
        <w:ind w:left="540"/>
        <w:jc w:val="both"/>
        <w:rPr>
          <w:rFonts w:ascii="Verdana" w:hAnsi="Verdana"/>
          <w:sz w:val="20"/>
          <w:szCs w:val="20"/>
          <w:lang w:eastAsia="ar-SA"/>
        </w:rPr>
      </w:pPr>
      <w:r w:rsidRPr="009C13A2">
        <w:rPr>
          <w:rFonts w:ascii="Verdana" w:hAnsi="Verdana"/>
          <w:sz w:val="20"/>
          <w:szCs w:val="20"/>
          <w:lang w:eastAsia="ar-SA"/>
        </w:rPr>
        <w:tab/>
        <w:t>Centre de Gestion de la FPT</w:t>
      </w:r>
    </w:p>
    <w:p w14:paraId="60CC6D93" w14:textId="77777777" w:rsidR="001D0EE9" w:rsidRPr="009C13A2" w:rsidRDefault="001D0EE9" w:rsidP="001D0EE9">
      <w:pPr>
        <w:tabs>
          <w:tab w:val="left" w:pos="5812"/>
        </w:tabs>
        <w:suppressAutoHyphens/>
        <w:ind w:left="540"/>
        <w:jc w:val="both"/>
        <w:rPr>
          <w:rFonts w:ascii="Verdana" w:hAnsi="Verdana"/>
          <w:sz w:val="20"/>
          <w:szCs w:val="20"/>
          <w:lang w:eastAsia="ar-SA"/>
        </w:rPr>
      </w:pPr>
      <w:r w:rsidRPr="009C13A2">
        <w:rPr>
          <w:rFonts w:ascii="Verdana" w:hAnsi="Verdana"/>
          <w:sz w:val="20"/>
          <w:szCs w:val="20"/>
          <w:lang w:eastAsia="ar-SA"/>
        </w:rPr>
        <w:tab/>
      </w:r>
      <w:proofErr w:type="gramStart"/>
      <w:r w:rsidRPr="009C13A2">
        <w:rPr>
          <w:rFonts w:ascii="Verdana" w:hAnsi="Verdana"/>
          <w:sz w:val="20"/>
          <w:szCs w:val="20"/>
          <w:lang w:eastAsia="ar-SA"/>
        </w:rPr>
        <w:t>de</w:t>
      </w:r>
      <w:proofErr w:type="gramEnd"/>
      <w:r w:rsidRPr="009C13A2">
        <w:rPr>
          <w:rFonts w:ascii="Verdana" w:hAnsi="Verdana"/>
          <w:sz w:val="20"/>
          <w:szCs w:val="20"/>
          <w:lang w:eastAsia="ar-SA"/>
        </w:rPr>
        <w:t xml:space="preserve"> Maine-et-Loire</w:t>
      </w:r>
    </w:p>
    <w:p w14:paraId="1D948C87" w14:textId="77777777" w:rsidR="001D0EE9" w:rsidRPr="009C13A2" w:rsidRDefault="001D0EE9" w:rsidP="001D0EE9">
      <w:pPr>
        <w:tabs>
          <w:tab w:val="left" w:pos="5812"/>
        </w:tabs>
        <w:suppressAutoHyphens/>
        <w:ind w:left="540"/>
        <w:jc w:val="both"/>
        <w:rPr>
          <w:rFonts w:ascii="Verdana" w:hAnsi="Verdana"/>
          <w:sz w:val="20"/>
          <w:szCs w:val="20"/>
          <w:lang w:eastAsia="ar-SA"/>
        </w:rPr>
      </w:pPr>
      <w:r w:rsidRPr="009C13A2">
        <w:rPr>
          <w:rFonts w:ascii="Verdana" w:hAnsi="Verdana"/>
          <w:sz w:val="20"/>
          <w:szCs w:val="20"/>
          <w:lang w:eastAsia="ar-SA"/>
        </w:rPr>
        <w:t>.......................</w:t>
      </w:r>
      <w:r w:rsidRPr="009C13A2">
        <w:rPr>
          <w:rFonts w:ascii="Verdana" w:hAnsi="Verdana"/>
          <w:sz w:val="20"/>
          <w:szCs w:val="20"/>
          <w:lang w:eastAsia="ar-SA"/>
        </w:rPr>
        <w:tab/>
        <w:t>Élisabeth MARQUET</w:t>
      </w:r>
    </w:p>
    <w:p w14:paraId="66DFCEA3" w14:textId="77777777" w:rsidR="001D0EE9" w:rsidRPr="009C13A2" w:rsidRDefault="001D0EE9" w:rsidP="001D0EE9">
      <w:pPr>
        <w:tabs>
          <w:tab w:val="left" w:pos="5812"/>
        </w:tabs>
        <w:suppressAutoHyphens/>
        <w:ind w:left="540"/>
        <w:jc w:val="both"/>
        <w:rPr>
          <w:sz w:val="20"/>
          <w:szCs w:val="20"/>
          <w:lang w:eastAsia="ar-SA"/>
        </w:rPr>
      </w:pPr>
      <w:r w:rsidRPr="009C13A2">
        <w:rPr>
          <w:sz w:val="20"/>
          <w:szCs w:val="20"/>
          <w:lang w:eastAsia="ar-SA"/>
        </w:rPr>
        <w:tab/>
      </w:r>
    </w:p>
    <w:p w14:paraId="33073AE0" w14:textId="77777777" w:rsidR="001D0EE9" w:rsidRDefault="001D0EE9" w:rsidP="001D0EE9">
      <w:pPr>
        <w:tabs>
          <w:tab w:val="left" w:pos="5812"/>
        </w:tabs>
        <w:suppressAutoHyphens/>
        <w:ind w:left="540"/>
        <w:jc w:val="both"/>
        <w:rPr>
          <w:lang w:eastAsia="ar-SA"/>
        </w:rPr>
      </w:pPr>
    </w:p>
    <w:p w14:paraId="376A8049" w14:textId="77777777" w:rsidR="001D0EE9" w:rsidRDefault="001D0EE9" w:rsidP="001D0EE9">
      <w:pPr>
        <w:tabs>
          <w:tab w:val="left" w:pos="5812"/>
        </w:tabs>
        <w:suppressAutoHyphens/>
        <w:ind w:left="540"/>
        <w:jc w:val="both"/>
        <w:rPr>
          <w:lang w:eastAsia="ar-SA"/>
        </w:rPr>
      </w:pPr>
    </w:p>
    <w:p w14:paraId="0BC8535A" w14:textId="77777777" w:rsidR="001D0EE9" w:rsidRDefault="001D0EE9" w:rsidP="001D0EE9">
      <w:pPr>
        <w:tabs>
          <w:tab w:val="left" w:pos="5812"/>
        </w:tabs>
        <w:suppressAutoHyphens/>
        <w:ind w:left="540"/>
        <w:jc w:val="both"/>
        <w:rPr>
          <w:lang w:eastAsia="ar-SA"/>
        </w:rPr>
      </w:pPr>
    </w:p>
    <w:p w14:paraId="1F326D94" w14:textId="77777777" w:rsidR="001D0EE9" w:rsidRDefault="001D0EE9" w:rsidP="001D0EE9">
      <w:pPr>
        <w:tabs>
          <w:tab w:val="left" w:pos="5812"/>
        </w:tabs>
        <w:suppressAutoHyphens/>
        <w:ind w:left="540"/>
        <w:jc w:val="both"/>
        <w:rPr>
          <w:lang w:eastAsia="ar-SA"/>
        </w:rPr>
      </w:pPr>
    </w:p>
    <w:p w14:paraId="6CA27DFC" w14:textId="77777777" w:rsidR="001D0EE9" w:rsidRDefault="001D0EE9" w:rsidP="001D0EE9">
      <w:pPr>
        <w:tabs>
          <w:tab w:val="left" w:pos="5812"/>
        </w:tabs>
        <w:suppressAutoHyphens/>
        <w:ind w:left="540"/>
        <w:jc w:val="both"/>
        <w:rPr>
          <w:lang w:eastAsia="ar-SA"/>
        </w:rPr>
      </w:pPr>
    </w:p>
    <w:p w14:paraId="30C827BB" w14:textId="77777777" w:rsidR="001D0EE9" w:rsidRDefault="001D0EE9" w:rsidP="001D0EE9">
      <w:pPr>
        <w:tabs>
          <w:tab w:val="left" w:pos="5812"/>
        </w:tabs>
        <w:suppressAutoHyphens/>
        <w:ind w:left="540"/>
        <w:jc w:val="both"/>
        <w:rPr>
          <w:lang w:eastAsia="ar-SA"/>
        </w:rPr>
      </w:pPr>
    </w:p>
    <w:p w14:paraId="09A8FC17" w14:textId="77777777" w:rsidR="001D0EE9" w:rsidRDefault="001D0EE9" w:rsidP="001D0EE9">
      <w:pPr>
        <w:tabs>
          <w:tab w:val="left" w:pos="5812"/>
        </w:tabs>
        <w:suppressAutoHyphens/>
        <w:ind w:left="540"/>
        <w:jc w:val="both"/>
        <w:rPr>
          <w:i/>
          <w:sz w:val="18"/>
          <w:szCs w:val="18"/>
          <w:lang w:eastAsia="ar-SA"/>
        </w:rPr>
      </w:pPr>
      <w:r>
        <w:rPr>
          <w:i/>
          <w:sz w:val="18"/>
          <w:szCs w:val="18"/>
          <w:lang w:eastAsia="ar-SA"/>
        </w:rPr>
        <w:t>(Cachet et signature)</w:t>
      </w:r>
      <w:r>
        <w:rPr>
          <w:i/>
          <w:sz w:val="18"/>
          <w:szCs w:val="18"/>
          <w:lang w:eastAsia="ar-SA"/>
        </w:rPr>
        <w:tab/>
        <w:t>(Cachet et signature)</w:t>
      </w:r>
    </w:p>
    <w:p w14:paraId="32DBB8F3" w14:textId="77777777" w:rsidR="001D0EE9" w:rsidRDefault="001D0EE9" w:rsidP="001D0EE9">
      <w:pPr>
        <w:tabs>
          <w:tab w:val="left" w:pos="5812"/>
        </w:tabs>
        <w:suppressAutoHyphens/>
        <w:ind w:left="540"/>
        <w:jc w:val="both"/>
        <w:rPr>
          <w:rFonts w:ascii="Verdana" w:hAnsi="Verdana" w:cs="Calibri"/>
          <w:sz w:val="20"/>
          <w:szCs w:val="20"/>
        </w:rPr>
      </w:pPr>
    </w:p>
    <w:p w14:paraId="32531DC4" w14:textId="77777777" w:rsidR="001D0EE9" w:rsidRDefault="001D0EE9" w:rsidP="001D0EE9">
      <w:pPr>
        <w:tabs>
          <w:tab w:val="left" w:pos="5812"/>
        </w:tabs>
        <w:suppressAutoHyphens/>
        <w:ind w:left="540"/>
        <w:jc w:val="both"/>
        <w:rPr>
          <w:rFonts w:ascii="Verdana" w:hAnsi="Verdana" w:cs="Calibri"/>
          <w:sz w:val="20"/>
          <w:szCs w:val="20"/>
        </w:rPr>
      </w:pPr>
    </w:p>
    <w:p w14:paraId="39A9B9BA" w14:textId="77777777" w:rsidR="001D0EE9" w:rsidRDefault="001D0EE9" w:rsidP="001D0EE9">
      <w:pPr>
        <w:tabs>
          <w:tab w:val="left" w:pos="5812"/>
        </w:tabs>
        <w:suppressAutoHyphens/>
        <w:ind w:left="540"/>
        <w:jc w:val="both"/>
        <w:rPr>
          <w:rFonts w:ascii="Verdana" w:hAnsi="Verdana" w:cs="Calibri"/>
          <w:sz w:val="20"/>
          <w:szCs w:val="20"/>
        </w:rPr>
      </w:pPr>
    </w:p>
    <w:p w14:paraId="4F9A47BB" w14:textId="77777777" w:rsidR="006937E9" w:rsidRDefault="006937E9"/>
    <w:sectPr w:rsidR="006937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49"/>
    <w:rsid w:val="0010701F"/>
    <w:rsid w:val="00133E62"/>
    <w:rsid w:val="001D0EE9"/>
    <w:rsid w:val="006937E9"/>
    <w:rsid w:val="007E12D0"/>
    <w:rsid w:val="00BD6949"/>
    <w:rsid w:val="00E13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AA93"/>
  <w15:chartTrackingRefBased/>
  <w15:docId w15:val="{A9E8C93C-5611-47EA-B7E4-5788F229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EE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12151</Characters>
  <Application>Microsoft Office Word</Application>
  <DocSecurity>0</DocSecurity>
  <Lines>101</Lines>
  <Paragraphs>28</Paragraphs>
  <ScaleCrop>false</ScaleCrop>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Cordier</dc:creator>
  <cp:keywords/>
  <dc:description/>
  <cp:lastModifiedBy>Guillaume Cordier</cp:lastModifiedBy>
  <cp:revision>3</cp:revision>
  <dcterms:created xsi:type="dcterms:W3CDTF">2022-06-01T14:48:00Z</dcterms:created>
  <dcterms:modified xsi:type="dcterms:W3CDTF">2022-06-01T14:49:00Z</dcterms:modified>
</cp:coreProperties>
</file>