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F0" w:rsidRDefault="00F202F0" w:rsidP="00F202F0">
      <w:pPr>
        <w:pStyle w:val="p3"/>
        <w:tabs>
          <w:tab w:val="left" w:pos="1836"/>
        </w:tabs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pStyle w:val="p3"/>
        <w:tabs>
          <w:tab w:val="clear" w:pos="1366"/>
        </w:tabs>
        <w:ind w:left="142" w:firstLine="0"/>
        <w:rPr>
          <w:sz w:val="16"/>
          <w:szCs w:val="16"/>
          <w:lang w:val="fr-FR"/>
        </w:rPr>
      </w:pPr>
      <w:r>
        <w:rPr>
          <w:lang w:val="fr-FR"/>
        </w:rPr>
        <w:object w:dxaOrig="148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71.5pt" o:ole="">
            <v:imagedata r:id="rId4" o:title=""/>
          </v:shape>
          <o:OLEObject Type="Embed" ProgID="PBrush" ShapeID="_x0000_i1025" DrawAspect="Content" ObjectID="_1778415498" r:id="rId5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F202F0" w:rsidRDefault="00F202F0" w:rsidP="00F202F0">
      <w:pPr>
        <w:pStyle w:val="p3"/>
        <w:tabs>
          <w:tab w:val="clear" w:pos="1366"/>
        </w:tabs>
        <w:ind w:left="142" w:firstLine="0"/>
        <w:rPr>
          <w:sz w:val="40"/>
          <w:szCs w:val="40"/>
          <w:lang w:val="fr-FR"/>
        </w:rPr>
      </w:pPr>
    </w:p>
    <w:p w:rsidR="00F202F0" w:rsidRDefault="00F202F0" w:rsidP="00F202F0">
      <w:pPr>
        <w:pStyle w:val="p3"/>
        <w:tabs>
          <w:tab w:val="left" w:pos="1836"/>
        </w:tabs>
        <w:rPr>
          <w:rFonts w:ascii="Arial" w:hAnsi="Arial" w:cs="Arial"/>
          <w:i/>
          <w:iCs/>
          <w:sz w:val="26"/>
          <w:szCs w:val="26"/>
          <w:lang w:val="fr-FR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fr-FR"/>
        </w:rPr>
        <w:t>CONTRAT D’ASSURANCE GROUPE</w:t>
      </w:r>
    </w:p>
    <w:p w:rsidR="00F202F0" w:rsidRDefault="00F202F0" w:rsidP="00F202F0">
      <w:pPr>
        <w:pStyle w:val="p3"/>
        <w:tabs>
          <w:tab w:val="left" w:pos="1836"/>
        </w:tabs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pStyle w:val="p3"/>
        <w:tabs>
          <w:tab w:val="left" w:pos="1836"/>
        </w:tabs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Pr="00F202F0" w:rsidRDefault="00F202F0" w:rsidP="00F202F0">
      <w:pPr>
        <w:pStyle w:val="p3"/>
        <w:tabs>
          <w:tab w:val="clear" w:pos="1366"/>
        </w:tabs>
        <w:ind w:left="426" w:firstLine="7"/>
        <w:jc w:val="center"/>
        <w:rPr>
          <w:rFonts w:ascii="Arial" w:hAnsi="Arial" w:cs="Arial"/>
          <w:b/>
          <w:bCs/>
          <w:i/>
          <w:iCs/>
          <w:sz w:val="26"/>
          <w:szCs w:val="26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202F0">
        <w:rPr>
          <w:rFonts w:ascii="Arial" w:hAnsi="Arial" w:cs="Arial"/>
          <w:b/>
          <w:bCs/>
          <w:i/>
          <w:iCs/>
          <w:sz w:val="26"/>
          <w:szCs w:val="26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PROJET DE DELIBERATION</w:t>
      </w:r>
    </w:p>
    <w:p w:rsidR="00F202F0" w:rsidRPr="00F202F0" w:rsidRDefault="00F202F0" w:rsidP="00F202F0">
      <w:pPr>
        <w:pStyle w:val="p3"/>
        <w:tabs>
          <w:tab w:val="clear" w:pos="1366"/>
        </w:tabs>
        <w:ind w:left="426" w:firstLine="7"/>
        <w:jc w:val="center"/>
        <w:rPr>
          <w:rFonts w:ascii="Arial" w:hAnsi="Arial" w:cs="Arial"/>
          <w:b/>
          <w:bCs/>
          <w:i/>
          <w:iCs/>
          <w:color w:val="D8D0C8"/>
          <w:sz w:val="26"/>
          <w:szCs w:val="26"/>
          <w:lang w:val="fr-F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202F0" w:rsidRDefault="00F202F0" w:rsidP="00F202F0">
      <w:pPr>
        <w:pStyle w:val="p3"/>
        <w:tabs>
          <w:tab w:val="left" w:pos="1836"/>
        </w:tabs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pStyle w:val="p1"/>
        <w:tabs>
          <w:tab w:val="clear" w:pos="334"/>
        </w:tabs>
        <w:ind w:left="334"/>
        <w:jc w:val="both"/>
        <w:rPr>
          <w:rFonts w:ascii="Arial" w:hAnsi="Arial" w:cs="Arial"/>
          <w:i/>
          <w:iCs/>
          <w:sz w:val="26"/>
          <w:szCs w:val="26"/>
          <w:lang w:val="fr-FR"/>
        </w:rPr>
      </w:pPr>
      <w:r>
        <w:rPr>
          <w:rFonts w:ascii="Arial" w:hAnsi="Arial" w:cs="Arial"/>
          <w:i/>
          <w:iCs/>
          <w:sz w:val="26"/>
          <w:szCs w:val="26"/>
          <w:lang w:val="fr-FR"/>
        </w:rPr>
        <w:t>Le Maire (le Président)  rappelle au conseil que</w:t>
      </w:r>
      <w:r w:rsidRPr="00F738C3">
        <w:rPr>
          <w:rFonts w:ascii="Arial" w:hAnsi="Arial" w:cs="Arial"/>
          <w:i/>
          <w:iCs/>
          <w:sz w:val="26"/>
          <w:szCs w:val="26"/>
          <w:lang w:val="fr-FR"/>
        </w:rPr>
        <w:t>, conformément aux dispositions de l’article</w:t>
      </w:r>
      <w:r w:rsidR="00C93AB9" w:rsidRPr="00F738C3">
        <w:rPr>
          <w:rFonts w:ascii="Arial" w:hAnsi="Arial" w:cs="Arial"/>
          <w:i/>
          <w:iCs/>
          <w:sz w:val="26"/>
          <w:szCs w:val="26"/>
          <w:lang w:val="fr-FR"/>
        </w:rPr>
        <w:t xml:space="preserve"> </w:t>
      </w:r>
      <w:r w:rsidRPr="00F738C3">
        <w:rPr>
          <w:rFonts w:ascii="Arial" w:hAnsi="Arial" w:cs="Arial"/>
          <w:i/>
          <w:iCs/>
          <w:sz w:val="26"/>
          <w:szCs w:val="26"/>
          <w:lang w:val="fr-FR"/>
        </w:rPr>
        <w:t>26 de la loi 84-53 du 26 janvier 1984 portant dispositions statutaires relatives à la fonction publique territoriale,</w:t>
      </w:r>
      <w:r>
        <w:rPr>
          <w:rFonts w:ascii="Arial" w:hAnsi="Arial" w:cs="Arial"/>
          <w:i/>
          <w:iCs/>
          <w:sz w:val="26"/>
          <w:szCs w:val="26"/>
          <w:lang w:val="fr-FR"/>
        </w:rPr>
        <w:t xml:space="preserve"> le Centre de Gestion peut souscrire pour le compte des collectivités et établissements du département, qui le demandent, des contrats d’assurance les garantissant contre les risques financiers découlant des dispositions </w:t>
      </w:r>
      <w:r w:rsidR="003C4AF7">
        <w:rPr>
          <w:rFonts w:ascii="Arial" w:hAnsi="Arial" w:cs="Arial"/>
          <w:i/>
          <w:iCs/>
          <w:sz w:val="26"/>
          <w:szCs w:val="26"/>
          <w:lang w:val="fr-FR"/>
        </w:rPr>
        <w:t>du titre II du livre VIII de la partie législative du code général de la fonction publique</w:t>
      </w:r>
      <w:r w:rsidR="004B5130">
        <w:rPr>
          <w:rFonts w:ascii="Arial" w:hAnsi="Arial" w:cs="Arial"/>
          <w:i/>
          <w:iCs/>
          <w:sz w:val="26"/>
          <w:szCs w:val="26"/>
          <w:lang w:val="fr-FR"/>
        </w:rPr>
        <w:t>, relative à la p</w:t>
      </w:r>
      <w:r w:rsidR="004B5130" w:rsidRPr="004B5130">
        <w:rPr>
          <w:rFonts w:ascii="Arial" w:hAnsi="Arial" w:cs="Arial"/>
          <w:i/>
          <w:iCs/>
          <w:sz w:val="26"/>
          <w:szCs w:val="26"/>
          <w:lang w:val="fr-FR"/>
        </w:rPr>
        <w:t>rotections liées à la maladie, à l'accident, à l'invalidité ou au décès (Articles L821-1 à L829-2)</w:t>
      </w:r>
      <w:r>
        <w:rPr>
          <w:rFonts w:ascii="Arial" w:hAnsi="Arial" w:cs="Arial"/>
          <w:i/>
          <w:iCs/>
          <w:sz w:val="26"/>
          <w:szCs w:val="26"/>
          <w:lang w:val="fr-FR"/>
        </w:rPr>
        <w:t xml:space="preserve"> </w:t>
      </w:r>
      <w:r w:rsidRPr="0079796F">
        <w:rPr>
          <w:rFonts w:ascii="Arial" w:hAnsi="Arial" w:cs="Arial"/>
          <w:i/>
          <w:iCs/>
          <w:sz w:val="26"/>
          <w:szCs w:val="26"/>
          <w:lang w:val="fr-FR"/>
        </w:rPr>
        <w:t xml:space="preserve">ainsi que des dispositions équivalentes couvrant les risques applicables aux agents </w:t>
      </w:r>
      <w:r w:rsidR="00504CEE">
        <w:rPr>
          <w:rFonts w:ascii="Arial" w:hAnsi="Arial" w:cs="Arial"/>
          <w:i/>
          <w:iCs/>
          <w:sz w:val="26"/>
          <w:szCs w:val="26"/>
          <w:lang w:val="fr-FR"/>
        </w:rPr>
        <w:t>contractuels</w:t>
      </w:r>
      <w:r>
        <w:rPr>
          <w:rFonts w:ascii="Arial" w:hAnsi="Arial" w:cs="Arial"/>
          <w:i/>
          <w:iCs/>
          <w:sz w:val="26"/>
          <w:szCs w:val="26"/>
          <w:lang w:val="fr-FR"/>
        </w:rPr>
        <w:t>.</w:t>
      </w:r>
    </w:p>
    <w:p w:rsidR="00F202F0" w:rsidRDefault="00F202F0" w:rsidP="00F202F0">
      <w:pPr>
        <w:pStyle w:val="p2"/>
        <w:tabs>
          <w:tab w:val="clear" w:pos="1836"/>
        </w:tabs>
        <w:ind w:left="334"/>
        <w:jc w:val="both"/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pStyle w:val="p2"/>
        <w:tabs>
          <w:tab w:val="clear" w:pos="1836"/>
        </w:tabs>
        <w:ind w:left="334"/>
        <w:jc w:val="both"/>
        <w:rPr>
          <w:rFonts w:ascii="Arial" w:hAnsi="Arial" w:cs="Arial"/>
          <w:i/>
          <w:iCs/>
          <w:sz w:val="26"/>
          <w:szCs w:val="26"/>
          <w:lang w:val="fr-FR"/>
        </w:rPr>
      </w:pPr>
      <w:r>
        <w:rPr>
          <w:rFonts w:ascii="Arial" w:hAnsi="Arial" w:cs="Arial"/>
          <w:i/>
          <w:iCs/>
          <w:sz w:val="26"/>
          <w:szCs w:val="26"/>
          <w:lang w:val="fr-FR"/>
        </w:rPr>
        <w:t>Considérant l’intérêt que représente la négociation d’un contrat d’assurance groupe,</w:t>
      </w:r>
    </w:p>
    <w:p w:rsidR="00F202F0" w:rsidRDefault="00F202F0" w:rsidP="00F202F0">
      <w:pPr>
        <w:tabs>
          <w:tab w:val="left" w:pos="1836"/>
        </w:tabs>
        <w:ind w:left="334"/>
        <w:jc w:val="both"/>
        <w:rPr>
          <w:rFonts w:ascii="Arial" w:hAnsi="Arial"/>
          <w:i/>
          <w:iCs/>
          <w:sz w:val="26"/>
          <w:szCs w:val="26"/>
        </w:rPr>
      </w:pPr>
    </w:p>
    <w:p w:rsidR="00F202F0" w:rsidRDefault="00F738C3" w:rsidP="00F202F0">
      <w:pPr>
        <w:pStyle w:val="p2"/>
        <w:tabs>
          <w:tab w:val="clear" w:pos="1836"/>
        </w:tabs>
        <w:ind w:left="334"/>
        <w:jc w:val="both"/>
        <w:rPr>
          <w:rFonts w:ascii="Arial" w:hAnsi="Arial" w:cs="Arial"/>
          <w:i/>
          <w:iCs/>
          <w:sz w:val="26"/>
          <w:szCs w:val="26"/>
          <w:lang w:val="fr-FR"/>
        </w:rPr>
      </w:pPr>
      <w:r>
        <w:rPr>
          <w:rFonts w:ascii="Arial" w:hAnsi="Arial" w:cs="Arial"/>
          <w:i/>
          <w:iCs/>
          <w:sz w:val="26"/>
          <w:szCs w:val="26"/>
          <w:lang w:val="fr-FR"/>
        </w:rPr>
        <w:t>L</w:t>
      </w:r>
      <w:r w:rsidR="00F202F0">
        <w:rPr>
          <w:rFonts w:ascii="Arial" w:hAnsi="Arial" w:cs="Arial"/>
          <w:i/>
          <w:iCs/>
          <w:sz w:val="26"/>
          <w:szCs w:val="26"/>
          <w:lang w:val="fr-FR"/>
        </w:rPr>
        <w:t>e Conseil après délibération décide de rattacher la collectivité à la consultation lancée par le Centre de gestion pour la couverture des risques statutaires  des agents à compter du 1</w:t>
      </w:r>
      <w:r w:rsidR="00F202F0" w:rsidRPr="006A0DCE">
        <w:rPr>
          <w:rFonts w:ascii="Arial" w:hAnsi="Arial" w:cs="Arial"/>
          <w:i/>
          <w:iCs/>
          <w:sz w:val="26"/>
          <w:szCs w:val="26"/>
          <w:vertAlign w:val="superscript"/>
          <w:lang w:val="fr-FR"/>
        </w:rPr>
        <w:t>er</w:t>
      </w:r>
      <w:r w:rsidR="00F202F0">
        <w:rPr>
          <w:rFonts w:ascii="Arial" w:hAnsi="Arial" w:cs="Arial"/>
          <w:i/>
          <w:iCs/>
          <w:sz w:val="26"/>
          <w:szCs w:val="26"/>
          <w:lang w:val="fr-FR"/>
        </w:rPr>
        <w:t xml:space="preserve"> janvier 20</w:t>
      </w:r>
      <w:r w:rsidR="00670A64">
        <w:rPr>
          <w:rFonts w:ascii="Arial" w:hAnsi="Arial" w:cs="Arial"/>
          <w:i/>
          <w:iCs/>
          <w:sz w:val="26"/>
          <w:szCs w:val="26"/>
          <w:lang w:val="fr-FR"/>
        </w:rPr>
        <w:t>2</w:t>
      </w:r>
      <w:r w:rsidR="0090609D">
        <w:rPr>
          <w:rFonts w:ascii="Arial" w:hAnsi="Arial" w:cs="Arial"/>
          <w:i/>
          <w:iCs/>
          <w:sz w:val="26"/>
          <w:szCs w:val="26"/>
          <w:lang w:val="fr-FR"/>
        </w:rPr>
        <w:t>5</w:t>
      </w:r>
      <w:bookmarkStart w:id="0" w:name="_GoBack"/>
      <w:bookmarkEnd w:id="0"/>
      <w:r w:rsidR="00F202F0">
        <w:rPr>
          <w:rFonts w:ascii="Arial" w:hAnsi="Arial" w:cs="Arial"/>
          <w:i/>
          <w:iCs/>
          <w:sz w:val="26"/>
          <w:szCs w:val="26"/>
          <w:lang w:val="fr-FR"/>
        </w:rPr>
        <w:t>.</w:t>
      </w:r>
    </w:p>
    <w:p w:rsidR="00F202F0" w:rsidRDefault="00F202F0" w:rsidP="00F202F0">
      <w:pPr>
        <w:pStyle w:val="p2"/>
        <w:tabs>
          <w:tab w:val="clear" w:pos="1836"/>
        </w:tabs>
        <w:ind w:left="334"/>
        <w:jc w:val="both"/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tabs>
          <w:tab w:val="left" w:pos="1836"/>
        </w:tabs>
        <w:ind w:left="334"/>
        <w:jc w:val="both"/>
        <w:rPr>
          <w:rFonts w:ascii="Arial" w:hAnsi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Caractéristiques de la consultation :</w:t>
      </w:r>
    </w:p>
    <w:p w:rsidR="00F202F0" w:rsidRDefault="00F202F0" w:rsidP="00F202F0">
      <w:pPr>
        <w:tabs>
          <w:tab w:val="left" w:pos="1836"/>
        </w:tabs>
        <w:ind w:left="334"/>
        <w:jc w:val="both"/>
        <w:rPr>
          <w:rFonts w:ascii="Arial" w:hAnsi="Arial"/>
          <w:i/>
          <w:iCs/>
          <w:sz w:val="26"/>
          <w:szCs w:val="26"/>
        </w:rPr>
      </w:pPr>
    </w:p>
    <w:p w:rsidR="00F202F0" w:rsidRPr="00703E14" w:rsidRDefault="00F202F0" w:rsidP="00F202F0">
      <w:pPr>
        <w:tabs>
          <w:tab w:val="left" w:pos="1836"/>
        </w:tabs>
        <w:ind w:left="1134"/>
        <w:jc w:val="both"/>
        <w:rPr>
          <w:rFonts w:ascii="Arial" w:hAnsi="Arial"/>
          <w:i/>
          <w:iCs/>
          <w:color w:val="000000" w:themeColor="text1"/>
          <w:sz w:val="26"/>
          <w:szCs w:val="26"/>
        </w:rPr>
      </w:pPr>
      <w:r w:rsidRPr="00703E14">
        <w:rPr>
          <w:rFonts w:ascii="Arial" w:hAnsi="Arial"/>
          <w:i/>
          <w:iCs/>
          <w:color w:val="000000" w:themeColor="text1"/>
          <w:sz w:val="26"/>
          <w:szCs w:val="26"/>
        </w:rPr>
        <w:t>Couverture de l’ensemble des risques statutaires</w:t>
      </w:r>
      <w:r w:rsidR="00DC312C" w:rsidRPr="00703E14">
        <w:rPr>
          <w:rFonts w:ascii="Arial" w:hAnsi="Arial"/>
          <w:i/>
          <w:iCs/>
          <w:color w:val="000000" w:themeColor="text1"/>
          <w:sz w:val="26"/>
          <w:szCs w:val="26"/>
        </w:rPr>
        <w:t xml:space="preserve"> pour les agents titulaires et contractuels</w:t>
      </w:r>
      <w:r w:rsidR="00703E14" w:rsidRPr="00703E14">
        <w:rPr>
          <w:rFonts w:ascii="Arial" w:hAnsi="Arial"/>
          <w:i/>
          <w:iCs/>
          <w:color w:val="000000" w:themeColor="text1"/>
          <w:sz w:val="26"/>
          <w:szCs w:val="26"/>
        </w:rPr>
        <w:t xml:space="preserve">, </w:t>
      </w:r>
      <w:r w:rsidR="00703E14" w:rsidRPr="00703E14">
        <w:rPr>
          <w:rFonts w:ascii="Arial" w:hAnsi="Arial"/>
          <w:b/>
          <w:i/>
          <w:iCs/>
          <w:color w:val="000000" w:themeColor="text1"/>
          <w:sz w:val="26"/>
          <w:szCs w:val="26"/>
        </w:rPr>
        <w:t xml:space="preserve">à l’exception de la maladie ordinaire, qui </w:t>
      </w:r>
      <w:r w:rsidR="00703E14">
        <w:rPr>
          <w:rFonts w:ascii="Arial" w:hAnsi="Arial"/>
          <w:b/>
          <w:i/>
          <w:iCs/>
          <w:color w:val="000000" w:themeColor="text1"/>
          <w:sz w:val="26"/>
          <w:szCs w:val="26"/>
        </w:rPr>
        <w:t>es</w:t>
      </w:r>
      <w:r w:rsidR="00703E14" w:rsidRPr="00703E14">
        <w:rPr>
          <w:rFonts w:ascii="Arial" w:hAnsi="Arial"/>
          <w:b/>
          <w:i/>
          <w:iCs/>
          <w:color w:val="000000" w:themeColor="text1"/>
          <w:sz w:val="26"/>
          <w:szCs w:val="26"/>
        </w:rPr>
        <w:t>t exclue de cette couverture.</w:t>
      </w:r>
    </w:p>
    <w:p w:rsidR="00703E14" w:rsidRDefault="00703E14" w:rsidP="00F202F0">
      <w:pPr>
        <w:tabs>
          <w:tab w:val="left" w:pos="1836"/>
        </w:tabs>
        <w:ind w:left="1134"/>
        <w:jc w:val="both"/>
        <w:rPr>
          <w:rFonts w:ascii="Arial" w:hAnsi="Arial"/>
          <w:i/>
          <w:iCs/>
          <w:color w:val="FF0000"/>
          <w:sz w:val="26"/>
          <w:szCs w:val="26"/>
        </w:rPr>
      </w:pPr>
    </w:p>
    <w:p w:rsidR="00F202F0" w:rsidRDefault="00F202F0" w:rsidP="00F202F0">
      <w:pPr>
        <w:tabs>
          <w:tab w:val="left" w:pos="1836"/>
        </w:tabs>
        <w:ind w:left="1134"/>
        <w:jc w:val="both"/>
        <w:rPr>
          <w:rFonts w:ascii="Arial" w:hAnsi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Garantie des charges patronales (optionnelle).</w:t>
      </w:r>
    </w:p>
    <w:p w:rsidR="00F202F0" w:rsidRDefault="00F202F0" w:rsidP="00F202F0">
      <w:pPr>
        <w:tabs>
          <w:tab w:val="left" w:pos="1836"/>
        </w:tabs>
        <w:ind w:left="1134"/>
        <w:jc w:val="both"/>
        <w:rPr>
          <w:rFonts w:ascii="Arial" w:hAnsi="Arial"/>
          <w:i/>
          <w:iCs/>
          <w:sz w:val="26"/>
          <w:szCs w:val="26"/>
        </w:rPr>
      </w:pPr>
    </w:p>
    <w:p w:rsidR="00F202F0" w:rsidRPr="00A24BA7" w:rsidRDefault="00F202F0" w:rsidP="00F202F0">
      <w:pPr>
        <w:tabs>
          <w:tab w:val="left" w:pos="1836"/>
        </w:tabs>
        <w:ind w:left="1134"/>
        <w:jc w:val="both"/>
        <w:rPr>
          <w:rFonts w:ascii="Arial" w:hAnsi="Arial"/>
          <w:i/>
          <w:iCs/>
          <w:sz w:val="26"/>
          <w:szCs w:val="26"/>
        </w:rPr>
      </w:pPr>
      <w:r w:rsidRPr="00A24BA7">
        <w:rPr>
          <w:rFonts w:ascii="Arial" w:hAnsi="Arial"/>
          <w:i/>
          <w:iCs/>
          <w:sz w:val="26"/>
          <w:szCs w:val="26"/>
        </w:rPr>
        <w:t>Option :</w:t>
      </w:r>
      <w:r>
        <w:rPr>
          <w:rFonts w:ascii="Arial" w:hAnsi="Arial"/>
          <w:i/>
          <w:iCs/>
          <w:sz w:val="26"/>
          <w:szCs w:val="26"/>
        </w:rPr>
        <w:t xml:space="preserve"> </w:t>
      </w:r>
      <w:r w:rsidRPr="00A24BA7">
        <w:rPr>
          <w:rFonts w:ascii="Arial" w:hAnsi="Arial"/>
          <w:i/>
          <w:iCs/>
          <w:sz w:val="26"/>
          <w:szCs w:val="26"/>
        </w:rPr>
        <w:t xml:space="preserve">Franchise de </w:t>
      </w:r>
      <w:r w:rsidR="00E439FE" w:rsidRPr="00E439FE">
        <w:rPr>
          <w:rFonts w:ascii="Arial" w:hAnsi="Arial"/>
          <w:b/>
          <w:i/>
          <w:iCs/>
          <w:sz w:val="26"/>
          <w:szCs w:val="26"/>
        </w:rPr>
        <w:t>3</w:t>
      </w:r>
      <w:r w:rsidRPr="00E439FE">
        <w:rPr>
          <w:rFonts w:ascii="Arial" w:hAnsi="Arial"/>
          <w:b/>
          <w:i/>
          <w:iCs/>
          <w:sz w:val="26"/>
          <w:szCs w:val="26"/>
        </w:rPr>
        <w:t>0 jours fermes</w:t>
      </w:r>
      <w:r w:rsidRPr="00A24BA7">
        <w:rPr>
          <w:rFonts w:ascii="Arial" w:hAnsi="Arial"/>
          <w:i/>
          <w:iCs/>
          <w:sz w:val="26"/>
          <w:szCs w:val="26"/>
        </w:rPr>
        <w:t xml:space="preserve"> pour accident du travail et maladie professionnelle ; cette option devra nécessairement être associée à une proposition sans franchise pour ces deux risques.</w:t>
      </w:r>
    </w:p>
    <w:p w:rsidR="00F202F0" w:rsidRDefault="00F202F0" w:rsidP="00F202F0">
      <w:pPr>
        <w:pStyle w:val="p5"/>
        <w:ind w:left="1134"/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pStyle w:val="p5"/>
        <w:ind w:left="426"/>
        <w:rPr>
          <w:rFonts w:ascii="Arial" w:hAnsi="Arial" w:cs="Arial"/>
          <w:i/>
          <w:iCs/>
          <w:sz w:val="26"/>
          <w:szCs w:val="26"/>
          <w:lang w:val="fr-FR"/>
        </w:rPr>
      </w:pPr>
    </w:p>
    <w:p w:rsidR="00F202F0" w:rsidRDefault="00F202F0" w:rsidP="00F202F0">
      <w:pPr>
        <w:pStyle w:val="p6"/>
        <w:ind w:left="426"/>
        <w:jc w:val="both"/>
        <w:rPr>
          <w:rFonts w:ascii="Arial" w:hAnsi="Arial" w:cs="Arial"/>
          <w:i/>
          <w:iCs/>
          <w:sz w:val="26"/>
          <w:szCs w:val="26"/>
          <w:lang w:val="fr-FR"/>
        </w:rPr>
      </w:pPr>
      <w:r>
        <w:rPr>
          <w:rFonts w:ascii="Arial" w:hAnsi="Arial" w:cs="Arial"/>
          <w:i/>
          <w:iCs/>
          <w:sz w:val="26"/>
          <w:szCs w:val="26"/>
          <w:lang w:val="fr-FR"/>
        </w:rPr>
        <w:t>Charge le Maire (le Président) de signer la demande de consultation.</w:t>
      </w:r>
    </w:p>
    <w:p w:rsidR="00476DAC" w:rsidRDefault="00476DAC"/>
    <w:sectPr w:rsidR="00476DAC">
      <w:pgSz w:w="11906" w:h="16838"/>
      <w:pgMar w:top="975" w:right="1134" w:bottom="663" w:left="1463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2F0"/>
    <w:rsid w:val="000126EA"/>
    <w:rsid w:val="003C4AF7"/>
    <w:rsid w:val="00476DAC"/>
    <w:rsid w:val="004B5130"/>
    <w:rsid w:val="004D4496"/>
    <w:rsid w:val="004F0957"/>
    <w:rsid w:val="00504CEE"/>
    <w:rsid w:val="0065231C"/>
    <w:rsid w:val="00670A64"/>
    <w:rsid w:val="006C2570"/>
    <w:rsid w:val="00703E14"/>
    <w:rsid w:val="0090609D"/>
    <w:rsid w:val="009B0003"/>
    <w:rsid w:val="00A03A81"/>
    <w:rsid w:val="00BC3F4B"/>
    <w:rsid w:val="00C93AB9"/>
    <w:rsid w:val="00DC312C"/>
    <w:rsid w:val="00E439FE"/>
    <w:rsid w:val="00F202F0"/>
    <w:rsid w:val="00F738C3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F7BEFB"/>
  <w15:docId w15:val="{0D3C6EE0-6C30-4DC8-84E0-F503D1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2F0"/>
    <w:pPr>
      <w:spacing w:after="0" w:line="240" w:lineRule="auto"/>
    </w:pPr>
    <w:rPr>
      <w:rFonts w:ascii="Baskerville Old Face" w:eastAsia="Times New Roman" w:hAnsi="Baskerville Old Face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202F0"/>
    <w:pPr>
      <w:widowControl w:val="0"/>
      <w:tabs>
        <w:tab w:val="center" w:pos="4536"/>
        <w:tab w:val="right" w:pos="9072"/>
      </w:tabs>
      <w:snapToGrid w:val="0"/>
    </w:pPr>
    <w:rPr>
      <w:rFonts w:ascii="Times New Roman" w:hAnsi="Times New Roman" w:cs="Times New Roman"/>
      <w:szCs w:val="20"/>
    </w:rPr>
  </w:style>
  <w:style w:type="character" w:customStyle="1" w:styleId="PieddepageCar">
    <w:name w:val="Pied de page Car"/>
    <w:basedOn w:val="Policepardfaut"/>
    <w:link w:val="Pieddepage"/>
    <w:rsid w:val="00F202F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1">
    <w:name w:val="p1"/>
    <w:basedOn w:val="Normal"/>
    <w:rsid w:val="00F202F0"/>
    <w:pPr>
      <w:widowControl w:val="0"/>
      <w:tabs>
        <w:tab w:val="left" w:pos="334"/>
      </w:tabs>
      <w:autoSpaceDE w:val="0"/>
      <w:autoSpaceDN w:val="0"/>
      <w:adjustRightInd w:val="0"/>
      <w:ind w:left="1106"/>
    </w:pPr>
    <w:rPr>
      <w:rFonts w:ascii="Times New Roman" w:hAnsi="Times New Roman" w:cs="Times New Roman"/>
      <w:lang w:val="en-US"/>
    </w:rPr>
  </w:style>
  <w:style w:type="paragraph" w:customStyle="1" w:styleId="p2">
    <w:name w:val="p2"/>
    <w:basedOn w:val="Normal"/>
    <w:rsid w:val="00F202F0"/>
    <w:pPr>
      <w:widowControl w:val="0"/>
      <w:tabs>
        <w:tab w:val="left" w:pos="1836"/>
      </w:tabs>
      <w:autoSpaceDE w:val="0"/>
      <w:autoSpaceDN w:val="0"/>
      <w:adjustRightInd w:val="0"/>
      <w:ind w:left="396"/>
    </w:pPr>
    <w:rPr>
      <w:rFonts w:ascii="Times New Roman" w:hAnsi="Times New Roman" w:cs="Times New Roman"/>
      <w:lang w:val="en-US"/>
    </w:rPr>
  </w:style>
  <w:style w:type="paragraph" w:customStyle="1" w:styleId="p3">
    <w:name w:val="p3"/>
    <w:basedOn w:val="Normal"/>
    <w:rsid w:val="00F202F0"/>
    <w:pPr>
      <w:widowControl w:val="0"/>
      <w:tabs>
        <w:tab w:val="left" w:pos="1366"/>
      </w:tabs>
      <w:autoSpaceDE w:val="0"/>
      <w:autoSpaceDN w:val="0"/>
      <w:adjustRightInd w:val="0"/>
      <w:ind w:left="1836" w:hanging="470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rsid w:val="00F202F0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customStyle="1" w:styleId="p6">
    <w:name w:val="p6"/>
    <w:basedOn w:val="Normal"/>
    <w:rsid w:val="00F202F0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paragraph" w:styleId="Titre">
    <w:name w:val="Title"/>
    <w:basedOn w:val="Normal"/>
    <w:link w:val="TitreCar"/>
    <w:qFormat/>
    <w:rsid w:val="00F202F0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F202F0"/>
    <w:rPr>
      <w:rFonts w:ascii="Baskerville Old Face" w:eastAsia="Times New Roman" w:hAnsi="Baskerville Old Face" w:cs="Arial"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Cordier</dc:creator>
  <cp:lastModifiedBy>Guillaume Cordier</cp:lastModifiedBy>
  <cp:revision>19</cp:revision>
  <dcterms:created xsi:type="dcterms:W3CDTF">2014-02-11T14:49:00Z</dcterms:created>
  <dcterms:modified xsi:type="dcterms:W3CDTF">2024-05-28T13:32:00Z</dcterms:modified>
</cp:coreProperties>
</file>